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2CEB" w14:textId="77777777" w:rsidR="008B7822" w:rsidRDefault="008B7822">
      <w:pPr>
        <w:ind w:firstLineChars="200" w:firstLine="480"/>
        <w:rPr>
          <w:rFonts w:eastAsia="昆仑黑体"/>
          <w:sz w:val="24"/>
        </w:rPr>
      </w:pPr>
    </w:p>
    <w:p w14:paraId="419603D8" w14:textId="77777777" w:rsidR="008B7822" w:rsidRDefault="008B7822">
      <w:pPr>
        <w:jc w:val="center"/>
        <w:outlineLvl w:val="0"/>
        <w:rPr>
          <w:rFonts w:ascii="方正小标宋简体" w:eastAsia="方正小标宋简体"/>
          <w:b/>
          <w:bCs/>
          <w:sz w:val="52"/>
          <w:szCs w:val="52"/>
        </w:rPr>
      </w:pPr>
    </w:p>
    <w:p w14:paraId="331E5275" w14:textId="77777777" w:rsidR="008B7822" w:rsidRDefault="00000000">
      <w:pPr>
        <w:jc w:val="center"/>
        <w:outlineLvl w:val="0"/>
        <w:rPr>
          <w:rFonts w:ascii="方正小标宋简体" w:eastAsia="方正小标宋简体"/>
          <w:b/>
          <w:bCs/>
          <w:sz w:val="52"/>
          <w:szCs w:val="52"/>
        </w:rPr>
      </w:pPr>
      <w:r>
        <w:rPr>
          <w:rFonts w:ascii="方正小标宋简体" w:eastAsia="方正小标宋简体" w:hint="eastAsia"/>
          <w:b/>
          <w:bCs/>
          <w:sz w:val="52"/>
          <w:szCs w:val="52"/>
        </w:rPr>
        <w:t>学位授权点建设年度报告</w:t>
      </w:r>
    </w:p>
    <w:p w14:paraId="2D4E15F1" w14:textId="77777777" w:rsidR="008B7822" w:rsidRDefault="00000000">
      <w:pPr>
        <w:jc w:val="center"/>
        <w:rPr>
          <w:sz w:val="32"/>
          <w:szCs w:val="32"/>
        </w:rPr>
      </w:pPr>
      <w:r>
        <w:rPr>
          <w:rFonts w:hint="eastAsia"/>
          <w:sz w:val="32"/>
          <w:szCs w:val="32"/>
        </w:rPr>
        <w:t>（</w:t>
      </w:r>
      <w:r>
        <w:rPr>
          <w:rFonts w:hint="eastAsia"/>
          <w:sz w:val="32"/>
          <w:szCs w:val="32"/>
        </w:rPr>
        <w:t>2019</w:t>
      </w:r>
      <w:r>
        <w:rPr>
          <w:rFonts w:hint="eastAsia"/>
          <w:sz w:val="32"/>
          <w:szCs w:val="32"/>
        </w:rPr>
        <w:t>年）</w:t>
      </w:r>
    </w:p>
    <w:p w14:paraId="27AC8450" w14:textId="77777777" w:rsidR="008B7822" w:rsidRDefault="008B7822">
      <w:pPr>
        <w:rPr>
          <w:sz w:val="24"/>
        </w:rPr>
      </w:pPr>
    </w:p>
    <w:p w14:paraId="205CA8A9" w14:textId="77777777" w:rsidR="008B7822" w:rsidRDefault="008B7822">
      <w:pPr>
        <w:rPr>
          <w:sz w:val="24"/>
        </w:rPr>
      </w:pPr>
    </w:p>
    <w:p w14:paraId="1DBF2CB2" w14:textId="77777777" w:rsidR="008B7822" w:rsidRDefault="008B7822">
      <w:pPr>
        <w:rPr>
          <w:sz w:val="24"/>
        </w:rPr>
      </w:pPr>
    </w:p>
    <w:p w14:paraId="4A225F36" w14:textId="77777777" w:rsidR="008B7822" w:rsidRDefault="008B7822">
      <w:pPr>
        <w:rPr>
          <w:sz w:val="24"/>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83"/>
        <w:gridCol w:w="4767"/>
      </w:tblGrid>
      <w:tr w:rsidR="008B7822" w14:paraId="49BA009E" w14:textId="77777777">
        <w:trPr>
          <w:trHeight w:val="426"/>
          <w:jc w:val="center"/>
        </w:trPr>
        <w:tc>
          <w:tcPr>
            <w:tcW w:w="2983" w:type="dxa"/>
            <w:tcBorders>
              <w:top w:val="nil"/>
              <w:bottom w:val="nil"/>
            </w:tcBorders>
          </w:tcPr>
          <w:p w14:paraId="23AB7D73" w14:textId="77777777" w:rsidR="008B7822" w:rsidRDefault="008B7822">
            <w:pPr>
              <w:spacing w:line="400" w:lineRule="exact"/>
              <w:rPr>
                <w:rFonts w:eastAsia="仿宋_GB2312"/>
                <w:bCs/>
                <w:sz w:val="28"/>
              </w:rPr>
            </w:pPr>
          </w:p>
        </w:tc>
        <w:tc>
          <w:tcPr>
            <w:tcW w:w="4767" w:type="dxa"/>
            <w:tcBorders>
              <w:top w:val="nil"/>
              <w:bottom w:val="nil"/>
            </w:tcBorders>
          </w:tcPr>
          <w:p w14:paraId="04F86EA9" w14:textId="77777777" w:rsidR="008B7822" w:rsidRDefault="00000000">
            <w:pPr>
              <w:spacing w:line="400" w:lineRule="exact"/>
              <w:rPr>
                <w:bCs/>
                <w:sz w:val="28"/>
              </w:rPr>
            </w:pPr>
            <w:r>
              <w:rPr>
                <w:rFonts w:eastAsia="仿宋_GB2312"/>
                <w:bCs/>
                <w:sz w:val="28"/>
              </w:rPr>
              <w:t>名称</w:t>
            </w:r>
            <w:r>
              <w:rPr>
                <w:rFonts w:eastAsia="仿宋_GB2312"/>
                <w:bCs/>
                <w:sz w:val="28"/>
              </w:rPr>
              <w:t>:</w:t>
            </w:r>
            <w:r>
              <w:rPr>
                <w:rFonts w:hint="eastAsia"/>
                <w:sz w:val="28"/>
                <w:szCs w:val="28"/>
              </w:rPr>
              <w:t xml:space="preserve"> </w:t>
            </w:r>
            <w:r>
              <w:rPr>
                <w:rFonts w:hint="eastAsia"/>
                <w:sz w:val="28"/>
                <w:szCs w:val="28"/>
              </w:rPr>
              <w:t>教育博士</w:t>
            </w:r>
          </w:p>
        </w:tc>
      </w:tr>
      <w:tr w:rsidR="008B7822" w14:paraId="19120E2C" w14:textId="77777777">
        <w:trPr>
          <w:trHeight w:val="426"/>
          <w:jc w:val="center"/>
        </w:trPr>
        <w:tc>
          <w:tcPr>
            <w:tcW w:w="2983" w:type="dxa"/>
            <w:tcBorders>
              <w:top w:val="nil"/>
              <w:bottom w:val="nil"/>
            </w:tcBorders>
          </w:tcPr>
          <w:p w14:paraId="7FB68237" w14:textId="77777777" w:rsidR="008B7822" w:rsidRDefault="00000000">
            <w:pPr>
              <w:spacing w:line="400" w:lineRule="exact"/>
              <w:ind w:right="280"/>
              <w:jc w:val="right"/>
              <w:rPr>
                <w:rFonts w:eastAsia="仿宋_GB2312"/>
                <w:bCs/>
                <w:sz w:val="28"/>
              </w:rPr>
            </w:pPr>
            <w:r>
              <w:rPr>
                <w:rFonts w:eastAsia="仿宋_GB2312"/>
                <w:bCs/>
                <w:sz w:val="28"/>
              </w:rPr>
              <w:t>一级学科</w:t>
            </w:r>
            <w:r>
              <w:rPr>
                <w:rFonts w:eastAsia="仿宋_GB2312" w:hint="eastAsia"/>
                <w:bCs/>
                <w:sz w:val="28"/>
              </w:rPr>
              <w:t>（学位类别）</w:t>
            </w:r>
          </w:p>
        </w:tc>
        <w:tc>
          <w:tcPr>
            <w:tcW w:w="4767" w:type="dxa"/>
            <w:tcBorders>
              <w:top w:val="nil"/>
              <w:bottom w:val="nil"/>
            </w:tcBorders>
          </w:tcPr>
          <w:p w14:paraId="17AE6980" w14:textId="77777777" w:rsidR="008B7822" w:rsidRDefault="00000000">
            <w:pPr>
              <w:spacing w:line="400" w:lineRule="exact"/>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hint="eastAsia"/>
                <w:bCs/>
                <w:sz w:val="28"/>
              </w:rPr>
              <w:t xml:space="preserve">   </w:t>
            </w:r>
          </w:p>
        </w:tc>
      </w:tr>
      <w:tr w:rsidR="008B7822" w14:paraId="1DA6C1F3" w14:textId="77777777">
        <w:trPr>
          <w:trHeight w:val="426"/>
          <w:jc w:val="center"/>
        </w:trPr>
        <w:tc>
          <w:tcPr>
            <w:tcW w:w="2983" w:type="dxa"/>
            <w:tcBorders>
              <w:top w:val="nil"/>
            </w:tcBorders>
          </w:tcPr>
          <w:p w14:paraId="64B66A13" w14:textId="77777777" w:rsidR="008B7822" w:rsidRDefault="00000000">
            <w:pPr>
              <w:spacing w:line="400" w:lineRule="exact"/>
              <w:ind w:right="419"/>
              <w:jc w:val="center"/>
              <w:rPr>
                <w:rFonts w:eastAsia="仿宋_GB2312"/>
                <w:bCs/>
                <w:sz w:val="28"/>
              </w:rPr>
            </w:pPr>
            <w:r>
              <w:rPr>
                <w:rFonts w:eastAsia="仿宋_GB2312"/>
                <w:bCs/>
                <w:noProof/>
                <w:sz w:val="28"/>
              </w:rPr>
              <mc:AlternateContent>
                <mc:Choice Requires="wps">
                  <w:drawing>
                    <wp:anchor distT="0" distB="0" distL="114300" distR="114300" simplePos="0" relativeHeight="251659264" behindDoc="0" locked="0" layoutInCell="1" allowOverlap="1" wp14:anchorId="2DDBE155" wp14:editId="6760406C">
                      <wp:simplePos x="0" y="0"/>
                      <wp:positionH relativeFrom="column">
                        <wp:posOffset>805815</wp:posOffset>
                      </wp:positionH>
                      <wp:positionV relativeFrom="paragraph">
                        <wp:posOffset>15240</wp:posOffset>
                      </wp:positionV>
                      <wp:extent cx="0" cy="266700"/>
                      <wp:effectExtent l="4445" t="0" r="8255"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ln>
                              <a:effectLst/>
                            </wps:spPr>
                            <wps:bodyPr/>
                          </wps:wsp>
                        </a:graphicData>
                      </a:graphic>
                    </wp:anchor>
                  </w:drawing>
                </mc:Choice>
                <mc:Fallback>
                  <w:pict>
                    <v:shapetype w14:anchorId="0FCDF82A" id="_x0000_t32" coordsize="21600,21600" o:spt="32" o:oned="t" path="m,l21600,21600e" filled="f">
                      <v:path arrowok="t" fillok="f" o:connecttype="none"/>
                      <o:lock v:ext="edit" shapetype="t"/>
                    </v:shapetype>
                    <v:shape id="直接箭头连接符 1" o:spid="_x0000_s1026" type="#_x0000_t32" style="position:absolute;left:0;text-align:left;margin-left:63.45pt;margin-top:1.2pt;width:0;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"/>
                  </w:pict>
                </mc:Fallback>
              </mc:AlternateContent>
            </w:r>
            <w:r>
              <w:rPr>
                <w:rFonts w:eastAsia="仿宋_GB2312" w:hint="eastAsia"/>
                <w:bCs/>
                <w:sz w:val="28"/>
              </w:rPr>
              <w:t>☑博</w:t>
            </w:r>
            <w:r>
              <w:rPr>
                <w:rFonts w:eastAsia="仿宋_GB2312" w:hint="eastAsia"/>
                <w:bCs/>
                <w:sz w:val="28"/>
              </w:rPr>
              <w:t xml:space="preserve">   </w:t>
            </w:r>
            <w:r>
              <w:rPr>
                <w:rFonts w:eastAsia="仿宋_GB2312" w:hint="eastAsia"/>
                <w:bCs/>
                <w:sz w:val="28"/>
              </w:rPr>
              <w:t>□硕</w:t>
            </w:r>
          </w:p>
        </w:tc>
        <w:tc>
          <w:tcPr>
            <w:tcW w:w="4767" w:type="dxa"/>
            <w:tcBorders>
              <w:top w:val="nil"/>
              <w:bottom w:val="nil"/>
            </w:tcBorders>
          </w:tcPr>
          <w:p w14:paraId="45104EAB" w14:textId="77777777" w:rsidR="008B7822" w:rsidRDefault="00000000">
            <w:pPr>
              <w:spacing w:line="400" w:lineRule="exact"/>
              <w:rPr>
                <w:bCs/>
                <w:sz w:val="28"/>
              </w:rPr>
            </w:pPr>
            <w:r>
              <w:rPr>
                <w:rFonts w:eastAsia="仿宋_GB2312"/>
                <w:bCs/>
                <w:sz w:val="28"/>
              </w:rPr>
              <w:t>代码</w:t>
            </w:r>
            <w:r>
              <w:rPr>
                <w:rFonts w:eastAsia="仿宋_GB2312"/>
                <w:bCs/>
                <w:sz w:val="28"/>
              </w:rPr>
              <w:t>:</w:t>
            </w:r>
            <w:r>
              <w:rPr>
                <w:rFonts w:eastAsia="仿宋_GB2312" w:hint="eastAsia"/>
                <w:bCs/>
                <w:sz w:val="28"/>
              </w:rPr>
              <w:t xml:space="preserve"> </w:t>
            </w:r>
            <w:r>
              <w:rPr>
                <w:rFonts w:hint="eastAsia"/>
                <w:sz w:val="28"/>
                <w:szCs w:val="28"/>
              </w:rPr>
              <w:t xml:space="preserve"> 0451b</w:t>
            </w:r>
          </w:p>
        </w:tc>
      </w:tr>
    </w:tbl>
    <w:p w14:paraId="216B5A3A" w14:textId="77777777" w:rsidR="008B7822" w:rsidRDefault="008B7822">
      <w:pPr>
        <w:rPr>
          <w:rFonts w:eastAsia="仿宋_GB2312"/>
          <w:sz w:val="24"/>
          <w:u w:val="thick"/>
        </w:rPr>
      </w:pPr>
    </w:p>
    <w:p w14:paraId="2E711978" w14:textId="77777777" w:rsidR="008B7822" w:rsidRDefault="008B7822">
      <w:pPr>
        <w:rPr>
          <w:rFonts w:eastAsia="仿宋_GB2312"/>
          <w:sz w:val="24"/>
          <w:u w:val="thick"/>
        </w:rPr>
      </w:pPr>
    </w:p>
    <w:p w14:paraId="43EAE57D" w14:textId="77777777" w:rsidR="008B7822" w:rsidRDefault="008B7822">
      <w:pPr>
        <w:rPr>
          <w:rFonts w:eastAsia="仿宋_GB2312"/>
          <w:sz w:val="24"/>
          <w:u w:val="thick"/>
        </w:rPr>
      </w:pPr>
    </w:p>
    <w:p w14:paraId="2572BE89" w14:textId="77777777" w:rsidR="008B7822" w:rsidRDefault="008B7822">
      <w:pPr>
        <w:jc w:val="center"/>
        <w:rPr>
          <w:rFonts w:eastAsia="仿宋_GB2312"/>
          <w:sz w:val="24"/>
          <w:u w:val="thick"/>
        </w:rPr>
      </w:pPr>
    </w:p>
    <w:p w14:paraId="3E04443E" w14:textId="77777777" w:rsidR="008B7822" w:rsidRDefault="008B7822">
      <w:pPr>
        <w:jc w:val="center"/>
        <w:rPr>
          <w:rFonts w:eastAsia="仿宋_GB2312"/>
          <w:sz w:val="24"/>
          <w:u w:val="thick"/>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83"/>
        <w:gridCol w:w="4767"/>
      </w:tblGrid>
      <w:tr w:rsidR="008B7822" w14:paraId="1E1541F2" w14:textId="77777777">
        <w:trPr>
          <w:trHeight w:val="426"/>
          <w:jc w:val="center"/>
        </w:trPr>
        <w:tc>
          <w:tcPr>
            <w:tcW w:w="2983" w:type="dxa"/>
            <w:tcBorders>
              <w:top w:val="nil"/>
              <w:bottom w:val="nil"/>
            </w:tcBorders>
          </w:tcPr>
          <w:p w14:paraId="44BADA63" w14:textId="77777777" w:rsidR="008B7822" w:rsidRDefault="008B7822">
            <w:pPr>
              <w:spacing w:line="400" w:lineRule="exact"/>
              <w:rPr>
                <w:rFonts w:eastAsia="仿宋_GB2312"/>
                <w:bCs/>
                <w:sz w:val="28"/>
              </w:rPr>
            </w:pPr>
          </w:p>
        </w:tc>
        <w:tc>
          <w:tcPr>
            <w:tcW w:w="4767" w:type="dxa"/>
            <w:tcBorders>
              <w:top w:val="nil"/>
              <w:bottom w:val="nil"/>
            </w:tcBorders>
          </w:tcPr>
          <w:p w14:paraId="4F58D5F7" w14:textId="77777777" w:rsidR="008B7822" w:rsidRDefault="00000000">
            <w:pPr>
              <w:spacing w:line="400" w:lineRule="exact"/>
              <w:rPr>
                <w:rFonts w:eastAsia="仿宋_GB2312"/>
                <w:bCs/>
                <w:sz w:val="28"/>
              </w:rPr>
            </w:pPr>
            <w:r>
              <w:rPr>
                <w:rFonts w:eastAsia="仿宋_GB2312" w:hint="eastAsia"/>
                <w:bCs/>
                <w:sz w:val="28"/>
              </w:rPr>
              <w:t>牵头学院：教育科学学院</w:t>
            </w:r>
          </w:p>
        </w:tc>
      </w:tr>
      <w:tr w:rsidR="008B7822" w14:paraId="04399D95" w14:textId="77777777">
        <w:trPr>
          <w:trHeight w:val="426"/>
          <w:jc w:val="center"/>
        </w:trPr>
        <w:tc>
          <w:tcPr>
            <w:tcW w:w="2983" w:type="dxa"/>
            <w:tcBorders>
              <w:top w:val="nil"/>
              <w:bottom w:val="nil"/>
            </w:tcBorders>
          </w:tcPr>
          <w:p w14:paraId="308F92E4" w14:textId="77777777" w:rsidR="008B7822" w:rsidRDefault="008B7822">
            <w:pPr>
              <w:spacing w:line="400" w:lineRule="exact"/>
              <w:ind w:right="280"/>
              <w:jc w:val="center"/>
              <w:rPr>
                <w:rFonts w:eastAsia="仿宋_GB2312"/>
                <w:bCs/>
                <w:sz w:val="28"/>
              </w:rPr>
            </w:pPr>
          </w:p>
        </w:tc>
        <w:tc>
          <w:tcPr>
            <w:tcW w:w="4767" w:type="dxa"/>
            <w:tcBorders>
              <w:top w:val="nil"/>
              <w:bottom w:val="nil"/>
            </w:tcBorders>
          </w:tcPr>
          <w:p w14:paraId="0F031497" w14:textId="77777777" w:rsidR="008B7822" w:rsidRDefault="00000000">
            <w:pPr>
              <w:spacing w:line="400" w:lineRule="exact"/>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8B7822" w14:paraId="5B3C8B74" w14:textId="77777777">
        <w:trPr>
          <w:trHeight w:val="426"/>
          <w:jc w:val="center"/>
        </w:trPr>
        <w:tc>
          <w:tcPr>
            <w:tcW w:w="2983" w:type="dxa"/>
            <w:tcBorders>
              <w:top w:val="nil"/>
              <w:bottom w:val="nil"/>
            </w:tcBorders>
          </w:tcPr>
          <w:p w14:paraId="315EFD80" w14:textId="77777777" w:rsidR="008B7822" w:rsidRDefault="00000000">
            <w:pPr>
              <w:spacing w:line="400" w:lineRule="exact"/>
              <w:ind w:right="419"/>
              <w:jc w:val="center"/>
              <w:rPr>
                <w:rFonts w:eastAsia="仿宋_GB2312"/>
                <w:bCs/>
                <w:sz w:val="28"/>
              </w:rPr>
            </w:pPr>
            <w:r>
              <w:rPr>
                <w:rFonts w:eastAsia="仿宋_GB2312" w:hint="eastAsia"/>
                <w:bCs/>
                <w:sz w:val="28"/>
              </w:rPr>
              <w:t>材料联系人</w:t>
            </w:r>
          </w:p>
        </w:tc>
        <w:tc>
          <w:tcPr>
            <w:tcW w:w="4767" w:type="dxa"/>
            <w:tcBorders>
              <w:top w:val="nil"/>
              <w:bottom w:val="nil"/>
            </w:tcBorders>
          </w:tcPr>
          <w:p w14:paraId="242FDCF6" w14:textId="77777777" w:rsidR="008B7822" w:rsidRDefault="00000000">
            <w:pPr>
              <w:spacing w:line="400" w:lineRule="exact"/>
              <w:rPr>
                <w:rFonts w:eastAsia="仿宋_GB2312"/>
                <w:bCs/>
                <w:sz w:val="28"/>
              </w:rPr>
            </w:pPr>
            <w:r>
              <w:rPr>
                <w:rFonts w:eastAsia="仿宋_GB2312" w:hint="eastAsia"/>
                <w:bCs/>
                <w:sz w:val="28"/>
              </w:rPr>
              <w:t>姓名：</w:t>
            </w:r>
            <w:r>
              <w:rPr>
                <w:rFonts w:eastAsia="仿宋_GB2312" w:hint="eastAsia"/>
                <w:bCs/>
                <w:sz w:val="28"/>
              </w:rPr>
              <w:t xml:space="preserve"> </w:t>
            </w:r>
            <w:r>
              <w:rPr>
                <w:rFonts w:eastAsia="仿宋_GB2312" w:hint="eastAsia"/>
                <w:bCs/>
                <w:sz w:val="28"/>
              </w:rPr>
              <w:t>刘铁芳</w:t>
            </w:r>
          </w:p>
        </w:tc>
      </w:tr>
      <w:tr w:rsidR="008B7822" w14:paraId="690D835B" w14:textId="77777777">
        <w:trPr>
          <w:trHeight w:val="426"/>
          <w:jc w:val="center"/>
        </w:trPr>
        <w:tc>
          <w:tcPr>
            <w:tcW w:w="2983" w:type="dxa"/>
            <w:tcBorders>
              <w:top w:val="nil"/>
              <w:bottom w:val="nil"/>
            </w:tcBorders>
          </w:tcPr>
          <w:p w14:paraId="3CBEC2EC" w14:textId="77777777" w:rsidR="008B7822" w:rsidRDefault="008B7822">
            <w:pPr>
              <w:spacing w:line="400" w:lineRule="exact"/>
              <w:ind w:right="419"/>
              <w:rPr>
                <w:rFonts w:eastAsia="仿宋_GB2312"/>
                <w:bCs/>
                <w:sz w:val="28"/>
              </w:rPr>
            </w:pPr>
          </w:p>
        </w:tc>
        <w:tc>
          <w:tcPr>
            <w:tcW w:w="4767" w:type="dxa"/>
            <w:tcBorders>
              <w:top w:val="nil"/>
              <w:bottom w:val="nil"/>
            </w:tcBorders>
          </w:tcPr>
          <w:p w14:paraId="7D48B325" w14:textId="77777777" w:rsidR="008B7822" w:rsidRDefault="00000000">
            <w:pPr>
              <w:spacing w:line="400" w:lineRule="exact"/>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8B7822" w14:paraId="65778159" w14:textId="77777777">
        <w:trPr>
          <w:trHeight w:val="426"/>
          <w:jc w:val="center"/>
        </w:trPr>
        <w:tc>
          <w:tcPr>
            <w:tcW w:w="2983" w:type="dxa"/>
            <w:tcBorders>
              <w:top w:val="nil"/>
            </w:tcBorders>
          </w:tcPr>
          <w:p w14:paraId="46753012" w14:textId="77777777" w:rsidR="008B7822" w:rsidRDefault="008B7822">
            <w:pPr>
              <w:spacing w:line="400" w:lineRule="exact"/>
              <w:ind w:right="419"/>
              <w:rPr>
                <w:rFonts w:eastAsia="仿宋_GB2312"/>
                <w:bCs/>
                <w:sz w:val="28"/>
              </w:rPr>
            </w:pPr>
          </w:p>
        </w:tc>
        <w:tc>
          <w:tcPr>
            <w:tcW w:w="4767" w:type="dxa"/>
            <w:tcBorders>
              <w:top w:val="nil"/>
              <w:bottom w:val="nil"/>
            </w:tcBorders>
          </w:tcPr>
          <w:p w14:paraId="18C1FF9A" w14:textId="77777777" w:rsidR="008B7822" w:rsidRDefault="00000000">
            <w:pPr>
              <w:spacing w:line="400" w:lineRule="exact"/>
              <w:rPr>
                <w:rFonts w:eastAsia="仿宋_GB2312"/>
                <w:bCs/>
                <w:sz w:val="28"/>
              </w:rPr>
            </w:pPr>
            <w:r>
              <w:rPr>
                <w:rFonts w:eastAsia="仿宋_GB2312" w:hint="eastAsia"/>
                <w:bCs/>
                <w:sz w:val="28"/>
              </w:rPr>
              <w:t>电话：</w:t>
            </w:r>
            <w:r>
              <w:rPr>
                <w:rFonts w:eastAsia="仿宋_GB2312"/>
                <w:bCs/>
                <w:sz w:val="28"/>
              </w:rPr>
              <w:t>18684935188</w:t>
            </w:r>
          </w:p>
        </w:tc>
      </w:tr>
    </w:tbl>
    <w:p w14:paraId="34AA1B55" w14:textId="77777777" w:rsidR="008B7822" w:rsidRDefault="008B7822">
      <w:pPr>
        <w:rPr>
          <w:sz w:val="24"/>
        </w:rPr>
      </w:pPr>
    </w:p>
    <w:p w14:paraId="7CE76A36" w14:textId="77777777" w:rsidR="008B7822" w:rsidRDefault="008B7822">
      <w:pPr>
        <w:rPr>
          <w:sz w:val="24"/>
          <w:u w:val="thick"/>
        </w:rPr>
      </w:pPr>
    </w:p>
    <w:p w14:paraId="54E28DC1" w14:textId="77777777" w:rsidR="008B7822" w:rsidRDefault="008B7822">
      <w:pPr>
        <w:rPr>
          <w:sz w:val="24"/>
          <w:u w:val="thick"/>
        </w:rPr>
      </w:pPr>
    </w:p>
    <w:p w14:paraId="126513EF" w14:textId="77777777" w:rsidR="008B7822" w:rsidRDefault="008B7822">
      <w:pPr>
        <w:rPr>
          <w:sz w:val="24"/>
          <w:u w:val="thick"/>
        </w:rPr>
      </w:pPr>
    </w:p>
    <w:p w14:paraId="4ABA841A" w14:textId="77777777" w:rsidR="008B7822" w:rsidRDefault="00000000">
      <w:pPr>
        <w:jc w:val="center"/>
        <w:rPr>
          <w:rFonts w:eastAsia="仿宋_GB2312"/>
          <w:sz w:val="32"/>
        </w:rPr>
      </w:pPr>
      <w:r>
        <w:rPr>
          <w:rFonts w:eastAsia="仿宋_GB2312" w:hint="eastAsia"/>
          <w:sz w:val="32"/>
        </w:rPr>
        <w:t>湖南师范大学学位评定委员会</w:t>
      </w:r>
      <w:r>
        <w:rPr>
          <w:rFonts w:eastAsia="仿宋_GB2312"/>
          <w:sz w:val="32"/>
        </w:rPr>
        <w:t>办公室制</w:t>
      </w:r>
    </w:p>
    <w:p w14:paraId="706AAFD6" w14:textId="24A0B005" w:rsidR="008B7822" w:rsidRDefault="00000000">
      <w:pPr>
        <w:jc w:val="center"/>
        <w:rPr>
          <w:rFonts w:eastAsia="仿宋"/>
          <w:sz w:val="28"/>
          <w:szCs w:val="28"/>
        </w:rPr>
      </w:pPr>
      <w:r w:rsidRPr="00C2776C">
        <w:rPr>
          <w:rFonts w:eastAsia="仿宋"/>
          <w:color w:val="FF0000"/>
          <w:sz w:val="28"/>
          <w:szCs w:val="28"/>
        </w:rPr>
        <w:t>20</w:t>
      </w:r>
      <w:r w:rsidR="00925D59" w:rsidRPr="00C2776C">
        <w:rPr>
          <w:rFonts w:eastAsia="仿宋"/>
          <w:color w:val="FF0000"/>
          <w:sz w:val="28"/>
          <w:szCs w:val="28"/>
        </w:rPr>
        <w:t>20</w:t>
      </w:r>
      <w:r>
        <w:rPr>
          <w:rFonts w:eastAsia="仿宋" w:hAnsi="仿宋"/>
          <w:sz w:val="28"/>
          <w:szCs w:val="28"/>
        </w:rPr>
        <w:t>年</w:t>
      </w:r>
      <w:r>
        <w:rPr>
          <w:rFonts w:eastAsia="仿宋" w:hint="eastAsia"/>
          <w:sz w:val="28"/>
          <w:szCs w:val="28"/>
        </w:rPr>
        <w:t>3</w:t>
      </w:r>
      <w:r>
        <w:rPr>
          <w:rFonts w:eastAsia="仿宋" w:hAnsi="仿宋"/>
          <w:sz w:val="28"/>
          <w:szCs w:val="28"/>
        </w:rPr>
        <w:t>月</w:t>
      </w:r>
      <w:r>
        <w:rPr>
          <w:rFonts w:eastAsia="仿宋"/>
          <w:sz w:val="28"/>
          <w:szCs w:val="28"/>
        </w:rPr>
        <w:t>30</w:t>
      </w:r>
      <w:r>
        <w:rPr>
          <w:rFonts w:eastAsia="仿宋" w:hAnsi="仿宋"/>
          <w:sz w:val="28"/>
          <w:szCs w:val="28"/>
        </w:rPr>
        <w:t>日</w:t>
      </w:r>
    </w:p>
    <w:p w14:paraId="47E88F24" w14:textId="77777777" w:rsidR="008B7822" w:rsidRDefault="00000000">
      <w:r>
        <w:br w:type="page"/>
      </w:r>
    </w:p>
    <w:p w14:paraId="3FC82F38" w14:textId="77777777" w:rsidR="008B7822" w:rsidRDefault="00000000">
      <w:pPr>
        <w:pStyle w:val="a7"/>
        <w:numPr>
          <w:ilvl w:val="0"/>
          <w:numId w:val="1"/>
        </w:numPr>
        <w:ind w:firstLineChars="0"/>
        <w:rPr>
          <w:rFonts w:ascii="黑体" w:eastAsia="黑体" w:hAnsi="黑体"/>
          <w:sz w:val="32"/>
          <w:szCs w:val="32"/>
        </w:rPr>
      </w:pPr>
      <w:r>
        <w:rPr>
          <w:rFonts w:ascii="黑体" w:eastAsia="黑体" w:hAnsi="黑体" w:hint="eastAsia"/>
          <w:sz w:val="32"/>
          <w:szCs w:val="32"/>
        </w:rPr>
        <w:lastRenderedPageBreak/>
        <w:t>学位授权点基本概况与年度发展目标</w:t>
      </w:r>
    </w:p>
    <w:p w14:paraId="7DC85AB2" w14:textId="77777777" w:rsidR="008B7822" w:rsidRDefault="00000000">
      <w:pPr>
        <w:numPr>
          <w:ilvl w:val="0"/>
          <w:numId w:val="2"/>
        </w:numPr>
        <w:ind w:firstLineChars="200" w:firstLine="643"/>
        <w:rPr>
          <w:rFonts w:ascii="楷体_GB2312" w:eastAsia="楷体_GB2312"/>
          <w:b/>
          <w:bCs/>
          <w:sz w:val="32"/>
          <w:szCs w:val="32"/>
        </w:rPr>
      </w:pPr>
      <w:r>
        <w:rPr>
          <w:rFonts w:ascii="楷体_GB2312" w:eastAsia="楷体_GB2312" w:hint="eastAsia"/>
          <w:b/>
          <w:bCs/>
          <w:sz w:val="32"/>
          <w:szCs w:val="32"/>
        </w:rPr>
        <w:t>学位授权点的发展历程</w:t>
      </w:r>
    </w:p>
    <w:p w14:paraId="0A4C5953" w14:textId="77777777" w:rsidR="008B7822" w:rsidRDefault="00000000">
      <w:pPr>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湖南师范大学教育科学学院坐落于湖南师大新校门旁，风景秀丽的桃子湖畔，被誉为“湖南师大门户”。学院前身是创办于1938年的国立师范学院教育系，我国现代著名教育家、国立师范学院创始人廖世承先生为首任系主任。著名教育学家、心理学家孟宪承、高觉敷、刘佛年、朱有瓛、杨荣国、陈孝禅、张德琇、孙名之、彭祖智、杨继本等曾在此执教，被誉为“当今中国最杰出、最有治校成就的校长教育家”之一的张楚廷教授长期引领教育学科发展，为学院奠定了深厚的学术基础和优良的办学声望。1995年，与学校电化教学部合并组建教育科学学院；2000年,原湖南省教育学院教育系并入学院，组成新的湖南师范大学教育科学学院。2019年，学院入选教育部首批全国党建标杆院系、湖南省高校党建工作标杆院系。湖南师范大学2017获得教育博士学位授权，学院于2018年获批教育博士专业学位授权点。目前在学校课程与教学、教育领导与管理、学生发展与教育三个方向招收教育博士专业学位研究生。</w:t>
      </w:r>
    </w:p>
    <w:p w14:paraId="2E0B85F7" w14:textId="77777777" w:rsidR="008B7822" w:rsidRDefault="00000000">
      <w:pPr>
        <w:numPr>
          <w:ilvl w:val="0"/>
          <w:numId w:val="2"/>
        </w:numPr>
        <w:ind w:firstLineChars="200" w:firstLine="643"/>
        <w:rPr>
          <w:rFonts w:ascii="楷体_GB2312" w:eastAsia="楷体_GB2312"/>
          <w:b/>
          <w:bCs/>
          <w:sz w:val="32"/>
          <w:szCs w:val="32"/>
        </w:rPr>
      </w:pPr>
      <w:r>
        <w:rPr>
          <w:rFonts w:ascii="楷体_GB2312" w:eastAsia="楷体_GB2312" w:hint="eastAsia"/>
          <w:b/>
          <w:bCs/>
          <w:sz w:val="32"/>
          <w:szCs w:val="32"/>
        </w:rPr>
        <w:t>学位授权点的年度建设目标</w:t>
      </w:r>
    </w:p>
    <w:p w14:paraId="0B1F3325" w14:textId="77777777" w:rsidR="008B7822" w:rsidRDefault="00000000">
      <w:pPr>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教育博士专业学位是为各级各类教育事业培养高层次管理和教学实践人才而开设的一种学位，致力于培养“研究型的教育专业人员”。在博士研究生教育中，如何实现教育博士研究生高质量发展，满足社会对高层次应用型人才的需求，为新时代从教</w:t>
      </w:r>
      <w:r>
        <w:rPr>
          <w:rFonts w:ascii="宋体" w:hAnsi="宋体" w:cs="宋体" w:hint="eastAsia"/>
          <w:sz w:val="30"/>
          <w:szCs w:val="30"/>
          <w:shd w:val="clear" w:color="auto" w:fill="FFFFFF"/>
        </w:rPr>
        <w:lastRenderedPageBreak/>
        <w:t>育大国走向教育强国，实现中华民族伟大复兴奠定坚实基础与提供人才保障，学院做出了积极的探索与努力。学院年度建设目标紧密结合“立德树人”的根本思想，培养人文素养与科学精神相统一，具有较高教育理论素养和专业情怀，能运用科学方法、创造性地研究和解决实际教育问题的复合型、职业型高层次专门人才。</w:t>
      </w:r>
    </w:p>
    <w:p w14:paraId="46F9C0D2" w14:textId="77777777" w:rsidR="008B7822" w:rsidRDefault="00000000">
      <w:pPr>
        <w:pStyle w:val="a7"/>
        <w:numPr>
          <w:ilvl w:val="0"/>
          <w:numId w:val="1"/>
        </w:numPr>
        <w:ind w:firstLineChars="0"/>
        <w:rPr>
          <w:rFonts w:ascii="黑体" w:eastAsia="黑体" w:hAnsi="黑体"/>
          <w:sz w:val="32"/>
          <w:szCs w:val="32"/>
        </w:rPr>
      </w:pPr>
      <w:r>
        <w:rPr>
          <w:rFonts w:ascii="黑体" w:eastAsia="黑体" w:hAnsi="黑体"/>
          <w:sz w:val="32"/>
          <w:szCs w:val="32"/>
        </w:rPr>
        <w:t>学位授权点基本条件建设情况</w:t>
      </w:r>
    </w:p>
    <w:p w14:paraId="766722D6" w14:textId="77777777" w:rsidR="008B7822" w:rsidRDefault="00000000">
      <w:pPr>
        <w:numPr>
          <w:ilvl w:val="0"/>
          <w:numId w:val="3"/>
        </w:numPr>
        <w:ind w:firstLine="640"/>
        <w:rPr>
          <w:rFonts w:ascii="楷体_GB2312" w:eastAsia="楷体_GB2312"/>
          <w:b/>
          <w:bCs/>
          <w:sz w:val="32"/>
          <w:szCs w:val="32"/>
        </w:rPr>
      </w:pPr>
      <w:r>
        <w:rPr>
          <w:rFonts w:ascii="楷体_GB2312" w:eastAsia="楷体_GB2312" w:hint="eastAsia"/>
          <w:b/>
          <w:bCs/>
          <w:sz w:val="32"/>
          <w:szCs w:val="32"/>
        </w:rPr>
        <w:t>学位授权点方向设置</w:t>
      </w:r>
    </w:p>
    <w:p w14:paraId="6DB050D1" w14:textId="77777777" w:rsidR="008B7822" w:rsidRDefault="00000000">
      <w:pPr>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学院现设教育学、心理学、学前教育学、教育技术学、特殊教育学5个系，设有教育部基础教育课程研究湖南师范大学中心、湖南省课程与教学改革研究基地，以及古典教育研究中心、教师教育研究中心、学前教育发展研究中心、湖湘教育文化研究中心、文化心理与行为研究中心、课程与教学研究所、学位与研究生教育研究中心、乡村教育研究中心等多个校级研究机构。拥有教育学、学前教育、教育技术学、心理学、应用心理学、特殊教育6个本科专业；教育学和心理学两个一级学科硕士点(涵盖全部13个二级学科硕士点),教育硕士和应用心理硕士两个专业学位硕士点；教育学、心理学两个一级学科博士点和教育博士专业学位点，教育学、心理学两个博士后流动站。</w:t>
      </w:r>
    </w:p>
    <w:p w14:paraId="2019637B" w14:textId="77777777" w:rsidR="008B7822" w:rsidRDefault="00000000">
      <w:pPr>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学院开设的教育博士专业学位研究生培养包括教育领导与管理、学校课程与教学、学生发展与教育三个研究方向，其招生对象和研究领域详见表1：</w:t>
      </w:r>
    </w:p>
    <w:p w14:paraId="090A1B69" w14:textId="77777777" w:rsidR="008B7822" w:rsidRDefault="00000000">
      <w:pPr>
        <w:spacing w:afterLines="50" w:after="156"/>
        <w:ind w:firstLineChars="200" w:firstLine="600"/>
        <w:jc w:val="center"/>
        <w:rPr>
          <w:rFonts w:ascii="宋体" w:hAnsi="宋体" w:cs="宋体"/>
          <w:sz w:val="30"/>
          <w:szCs w:val="30"/>
          <w:shd w:val="clear" w:color="auto" w:fill="FFFFFF"/>
        </w:rPr>
      </w:pPr>
      <w:r>
        <w:rPr>
          <w:rFonts w:ascii="宋体" w:hAnsi="宋体" w:cs="宋体" w:hint="eastAsia"/>
          <w:sz w:val="30"/>
          <w:szCs w:val="30"/>
          <w:shd w:val="clear" w:color="auto" w:fill="FFFFFF"/>
        </w:rPr>
        <w:lastRenderedPageBreak/>
        <w:t>表1：教育科学学院教育博士专业学位研究专业设置</w:t>
      </w:r>
    </w:p>
    <w:tbl>
      <w:tblPr>
        <w:tblW w:w="8424" w:type="dxa"/>
        <w:tblInd w:w="98" w:type="dxa"/>
        <w:tblLayout w:type="fixed"/>
        <w:tblLook w:val="04A0" w:firstRow="1" w:lastRow="0" w:firstColumn="1" w:lastColumn="0" w:noHBand="0" w:noVBand="1"/>
      </w:tblPr>
      <w:tblGrid>
        <w:gridCol w:w="700"/>
        <w:gridCol w:w="4894"/>
        <w:gridCol w:w="2830"/>
      </w:tblGrid>
      <w:tr w:rsidR="008B7822" w14:paraId="6A2B953D" w14:textId="77777777">
        <w:trPr>
          <w:trHeight w:val="780"/>
        </w:trPr>
        <w:tc>
          <w:tcPr>
            <w:tcW w:w="700" w:type="dxa"/>
            <w:tcBorders>
              <w:top w:val="single" w:sz="4" w:space="0" w:color="000000"/>
              <w:left w:val="nil"/>
              <w:bottom w:val="single" w:sz="4" w:space="0" w:color="000000"/>
              <w:right w:val="nil"/>
            </w:tcBorders>
            <w:shd w:val="clear" w:color="auto" w:fill="auto"/>
            <w:noWrap/>
            <w:vAlign w:val="center"/>
          </w:tcPr>
          <w:p w14:paraId="63CA47AF" w14:textId="77777777" w:rsidR="008B7822" w:rsidRDefault="00000000">
            <w:pPr>
              <w:widowControl/>
              <w:jc w:val="center"/>
              <w:textAlignment w:val="center"/>
              <w:rPr>
                <w:rFonts w:ascii="宋体" w:hAnsi="宋体" w:cs="宋体"/>
                <w:b/>
                <w:bCs/>
                <w:sz w:val="24"/>
              </w:rPr>
            </w:pPr>
            <w:r>
              <w:rPr>
                <w:rFonts w:ascii="宋体" w:hAnsi="宋体" w:cs="宋体" w:hint="eastAsia"/>
                <w:b/>
                <w:bCs/>
                <w:kern w:val="0"/>
                <w:sz w:val="24"/>
                <w:lang w:bidi="ar"/>
              </w:rPr>
              <w:t>专业名称</w:t>
            </w:r>
          </w:p>
        </w:tc>
        <w:tc>
          <w:tcPr>
            <w:tcW w:w="4894" w:type="dxa"/>
            <w:tcBorders>
              <w:top w:val="single" w:sz="4" w:space="0" w:color="000000"/>
              <w:left w:val="nil"/>
              <w:bottom w:val="single" w:sz="4" w:space="0" w:color="000000"/>
              <w:right w:val="nil"/>
            </w:tcBorders>
            <w:shd w:val="clear" w:color="auto" w:fill="auto"/>
            <w:noWrap/>
            <w:vAlign w:val="center"/>
          </w:tcPr>
          <w:p w14:paraId="622CFBC9" w14:textId="77777777" w:rsidR="008B7822" w:rsidRDefault="00000000">
            <w:pPr>
              <w:widowControl/>
              <w:jc w:val="center"/>
              <w:textAlignment w:val="center"/>
              <w:rPr>
                <w:rFonts w:ascii="宋体" w:hAnsi="宋体" w:cs="宋体"/>
                <w:b/>
                <w:bCs/>
                <w:sz w:val="24"/>
              </w:rPr>
            </w:pPr>
            <w:r>
              <w:rPr>
                <w:rFonts w:ascii="宋体" w:hAnsi="宋体" w:cs="宋体" w:hint="eastAsia"/>
                <w:b/>
                <w:bCs/>
                <w:kern w:val="0"/>
                <w:sz w:val="24"/>
                <w:lang w:bidi="ar"/>
              </w:rPr>
              <w:t>招生对象</w:t>
            </w:r>
          </w:p>
        </w:tc>
        <w:tc>
          <w:tcPr>
            <w:tcW w:w="2830" w:type="dxa"/>
            <w:tcBorders>
              <w:top w:val="single" w:sz="4" w:space="0" w:color="000000"/>
              <w:left w:val="nil"/>
              <w:bottom w:val="single" w:sz="4" w:space="0" w:color="000000"/>
              <w:right w:val="nil"/>
            </w:tcBorders>
            <w:shd w:val="clear" w:color="auto" w:fill="auto"/>
            <w:noWrap/>
            <w:vAlign w:val="center"/>
          </w:tcPr>
          <w:p w14:paraId="72C4277B" w14:textId="77777777" w:rsidR="008B7822" w:rsidRDefault="00000000">
            <w:pPr>
              <w:widowControl/>
              <w:jc w:val="center"/>
              <w:textAlignment w:val="center"/>
              <w:rPr>
                <w:rFonts w:ascii="宋体" w:hAnsi="宋体" w:cs="宋体"/>
                <w:b/>
                <w:bCs/>
                <w:sz w:val="24"/>
              </w:rPr>
            </w:pPr>
            <w:r>
              <w:rPr>
                <w:rFonts w:ascii="宋体" w:hAnsi="宋体" w:cs="宋体" w:hint="eastAsia"/>
                <w:b/>
                <w:bCs/>
                <w:kern w:val="0"/>
                <w:sz w:val="24"/>
                <w:lang w:bidi="ar"/>
              </w:rPr>
              <w:t>研究领域</w:t>
            </w:r>
          </w:p>
        </w:tc>
      </w:tr>
      <w:tr w:rsidR="008B7822" w14:paraId="370F6D6C" w14:textId="77777777">
        <w:trPr>
          <w:trHeight w:val="2300"/>
        </w:trPr>
        <w:tc>
          <w:tcPr>
            <w:tcW w:w="700" w:type="dxa"/>
            <w:tcBorders>
              <w:top w:val="nil"/>
              <w:left w:val="nil"/>
              <w:bottom w:val="nil"/>
              <w:right w:val="nil"/>
            </w:tcBorders>
            <w:shd w:val="clear" w:color="auto" w:fill="auto"/>
            <w:noWrap/>
            <w:vAlign w:val="center"/>
          </w:tcPr>
          <w:p w14:paraId="2509333B" w14:textId="77777777" w:rsidR="008B7822" w:rsidRDefault="00000000">
            <w:pPr>
              <w:widowControl/>
              <w:textAlignment w:val="center"/>
              <w:rPr>
                <w:rFonts w:ascii="宋体" w:hAnsi="宋体" w:cs="宋体"/>
                <w:b/>
                <w:bCs/>
                <w:sz w:val="24"/>
              </w:rPr>
            </w:pPr>
            <w:r>
              <w:rPr>
                <w:rFonts w:ascii="宋体" w:hAnsi="宋体" w:cs="宋体" w:hint="eastAsia"/>
                <w:b/>
                <w:bCs/>
                <w:kern w:val="0"/>
                <w:sz w:val="24"/>
                <w:lang w:bidi="ar"/>
              </w:rPr>
              <w:t>教育领导与管理</w:t>
            </w:r>
          </w:p>
        </w:tc>
        <w:tc>
          <w:tcPr>
            <w:tcW w:w="4894" w:type="dxa"/>
            <w:tcBorders>
              <w:top w:val="nil"/>
              <w:left w:val="nil"/>
              <w:bottom w:val="nil"/>
              <w:right w:val="nil"/>
            </w:tcBorders>
            <w:shd w:val="clear" w:color="auto" w:fill="auto"/>
            <w:noWrap/>
            <w:vAlign w:val="center"/>
          </w:tcPr>
          <w:p w14:paraId="6CFF31C0" w14:textId="77777777" w:rsidR="008B7822" w:rsidRDefault="00000000">
            <w:pPr>
              <w:widowControl/>
              <w:textAlignment w:val="center"/>
              <w:rPr>
                <w:rFonts w:ascii="宋体" w:hAnsi="宋体" w:cs="宋体"/>
                <w:sz w:val="24"/>
              </w:rPr>
            </w:pPr>
            <w:r>
              <w:rPr>
                <w:rFonts w:ascii="宋体" w:hAnsi="宋体" w:cs="宋体" w:hint="eastAsia"/>
                <w:kern w:val="0"/>
                <w:sz w:val="24"/>
                <w:lang w:bidi="ar"/>
              </w:rPr>
              <w:t>有5年以上教育及相关领域全职工作经历、具有相当成就和较强研究能力的各级各类学校管理人员。</w:t>
            </w:r>
          </w:p>
        </w:tc>
        <w:tc>
          <w:tcPr>
            <w:tcW w:w="2830" w:type="dxa"/>
            <w:tcBorders>
              <w:top w:val="nil"/>
              <w:left w:val="nil"/>
              <w:bottom w:val="nil"/>
              <w:right w:val="nil"/>
            </w:tcBorders>
            <w:shd w:val="clear" w:color="auto" w:fill="auto"/>
            <w:noWrap/>
            <w:vAlign w:val="center"/>
          </w:tcPr>
          <w:p w14:paraId="1524925B" w14:textId="77777777" w:rsidR="008B7822" w:rsidRDefault="00000000">
            <w:pPr>
              <w:widowControl/>
              <w:textAlignment w:val="center"/>
              <w:rPr>
                <w:rFonts w:ascii="宋体" w:hAnsi="宋体" w:cs="宋体"/>
                <w:sz w:val="24"/>
              </w:rPr>
            </w:pPr>
            <w:r>
              <w:rPr>
                <w:rFonts w:ascii="宋体" w:hAnsi="宋体" w:cs="宋体" w:hint="eastAsia"/>
                <w:kern w:val="0"/>
                <w:sz w:val="24"/>
                <w:lang w:bidi="ar"/>
              </w:rPr>
              <w:t>该方向主要研究学校教育领导与管理中的基本理论与实践问题。</w:t>
            </w:r>
          </w:p>
        </w:tc>
      </w:tr>
      <w:tr w:rsidR="008B7822" w14:paraId="6569F103" w14:textId="77777777">
        <w:trPr>
          <w:trHeight w:val="2320"/>
        </w:trPr>
        <w:tc>
          <w:tcPr>
            <w:tcW w:w="700" w:type="dxa"/>
            <w:tcBorders>
              <w:top w:val="nil"/>
              <w:left w:val="nil"/>
              <w:bottom w:val="nil"/>
              <w:right w:val="nil"/>
            </w:tcBorders>
            <w:shd w:val="clear" w:color="auto" w:fill="auto"/>
            <w:noWrap/>
            <w:vAlign w:val="center"/>
          </w:tcPr>
          <w:p w14:paraId="65E5A332" w14:textId="77777777" w:rsidR="008B7822" w:rsidRDefault="00000000">
            <w:pPr>
              <w:widowControl/>
              <w:textAlignment w:val="center"/>
              <w:rPr>
                <w:rFonts w:ascii="宋体" w:hAnsi="宋体" w:cs="宋体"/>
                <w:b/>
                <w:bCs/>
                <w:sz w:val="24"/>
              </w:rPr>
            </w:pPr>
            <w:r>
              <w:rPr>
                <w:rFonts w:ascii="宋体" w:hAnsi="宋体" w:cs="宋体" w:hint="eastAsia"/>
                <w:b/>
                <w:bCs/>
                <w:kern w:val="0"/>
                <w:sz w:val="24"/>
                <w:lang w:bidi="ar"/>
              </w:rPr>
              <w:t>学校课程与教学</w:t>
            </w:r>
          </w:p>
        </w:tc>
        <w:tc>
          <w:tcPr>
            <w:tcW w:w="4894" w:type="dxa"/>
            <w:tcBorders>
              <w:top w:val="nil"/>
              <w:left w:val="nil"/>
              <w:bottom w:val="nil"/>
              <w:right w:val="nil"/>
            </w:tcBorders>
            <w:shd w:val="clear" w:color="auto" w:fill="auto"/>
            <w:noWrap/>
            <w:vAlign w:val="center"/>
          </w:tcPr>
          <w:p w14:paraId="35B2A2A3" w14:textId="77777777" w:rsidR="008B7822" w:rsidRDefault="00000000">
            <w:pPr>
              <w:widowControl/>
              <w:textAlignment w:val="center"/>
              <w:rPr>
                <w:rFonts w:ascii="宋体" w:hAnsi="宋体" w:cs="宋体"/>
                <w:sz w:val="24"/>
              </w:rPr>
            </w:pPr>
            <w:r>
              <w:rPr>
                <w:rFonts w:ascii="宋体" w:hAnsi="宋体" w:cs="宋体" w:hint="eastAsia"/>
                <w:kern w:val="0"/>
                <w:sz w:val="24"/>
                <w:lang w:bidi="ar"/>
              </w:rPr>
              <w:t>有5年以上教育及相关领域全职工作经历、具有相当成就和较强研究能力的中小学教师。</w:t>
            </w:r>
          </w:p>
        </w:tc>
        <w:tc>
          <w:tcPr>
            <w:tcW w:w="2830" w:type="dxa"/>
            <w:tcBorders>
              <w:top w:val="nil"/>
              <w:left w:val="nil"/>
              <w:bottom w:val="nil"/>
              <w:right w:val="nil"/>
            </w:tcBorders>
            <w:shd w:val="clear" w:color="auto" w:fill="auto"/>
            <w:noWrap/>
            <w:vAlign w:val="center"/>
          </w:tcPr>
          <w:p w14:paraId="21160927" w14:textId="77777777" w:rsidR="008B7822" w:rsidRDefault="00000000">
            <w:pPr>
              <w:widowControl/>
              <w:textAlignment w:val="center"/>
              <w:rPr>
                <w:rFonts w:ascii="宋体" w:hAnsi="宋体" w:cs="宋体"/>
                <w:sz w:val="24"/>
              </w:rPr>
            </w:pPr>
            <w:r>
              <w:rPr>
                <w:rFonts w:ascii="宋体" w:hAnsi="宋体" w:cs="宋体" w:hint="eastAsia"/>
                <w:kern w:val="0"/>
                <w:sz w:val="24"/>
                <w:lang w:bidi="ar"/>
              </w:rPr>
              <w:t>该方向主要研究领域为课程与教学基本理论及中小学各学科的课程建设与教学改革。</w:t>
            </w:r>
          </w:p>
        </w:tc>
      </w:tr>
      <w:tr w:rsidR="008B7822" w14:paraId="0D3577D0" w14:textId="77777777">
        <w:trPr>
          <w:trHeight w:val="1940"/>
        </w:trPr>
        <w:tc>
          <w:tcPr>
            <w:tcW w:w="700" w:type="dxa"/>
            <w:tcBorders>
              <w:top w:val="nil"/>
              <w:left w:val="nil"/>
              <w:bottom w:val="nil"/>
              <w:right w:val="nil"/>
            </w:tcBorders>
            <w:shd w:val="clear" w:color="auto" w:fill="auto"/>
            <w:noWrap/>
            <w:vAlign w:val="center"/>
          </w:tcPr>
          <w:p w14:paraId="2C4FE3BF" w14:textId="77777777" w:rsidR="008B7822" w:rsidRDefault="00000000">
            <w:pPr>
              <w:widowControl/>
              <w:textAlignment w:val="center"/>
              <w:rPr>
                <w:rFonts w:ascii="宋体" w:hAnsi="宋体" w:cs="宋体"/>
                <w:b/>
                <w:bCs/>
                <w:sz w:val="24"/>
              </w:rPr>
            </w:pPr>
            <w:r>
              <w:rPr>
                <w:rFonts w:ascii="宋体" w:hAnsi="宋体" w:cs="宋体" w:hint="eastAsia"/>
                <w:b/>
                <w:bCs/>
                <w:kern w:val="0"/>
                <w:sz w:val="24"/>
                <w:lang w:bidi="ar"/>
              </w:rPr>
              <w:t>学生发展与教育</w:t>
            </w:r>
          </w:p>
        </w:tc>
        <w:tc>
          <w:tcPr>
            <w:tcW w:w="4894" w:type="dxa"/>
            <w:tcBorders>
              <w:top w:val="nil"/>
              <w:left w:val="nil"/>
              <w:bottom w:val="single" w:sz="8" w:space="0" w:color="000000"/>
              <w:right w:val="nil"/>
            </w:tcBorders>
            <w:shd w:val="clear" w:color="auto" w:fill="auto"/>
            <w:noWrap/>
            <w:vAlign w:val="center"/>
          </w:tcPr>
          <w:p w14:paraId="0FE0E032" w14:textId="77777777" w:rsidR="008B7822" w:rsidRDefault="00000000">
            <w:pPr>
              <w:widowControl/>
              <w:textAlignment w:val="center"/>
              <w:rPr>
                <w:rFonts w:ascii="宋体" w:hAnsi="宋体" w:cs="宋体"/>
                <w:sz w:val="24"/>
              </w:rPr>
            </w:pPr>
            <w:r>
              <w:rPr>
                <w:rFonts w:ascii="宋体" w:hAnsi="宋体" w:cs="宋体" w:hint="eastAsia"/>
                <w:kern w:val="0"/>
                <w:sz w:val="24"/>
                <w:lang w:bidi="ar"/>
              </w:rPr>
              <w:t>有5年以上教育及相关领域全职工作经历、具有相当成就和较强研究能力的各级各类学校从事思想品德教育、心理健康教育和学生管理的教师与工作人员。</w:t>
            </w:r>
          </w:p>
        </w:tc>
        <w:tc>
          <w:tcPr>
            <w:tcW w:w="2830" w:type="dxa"/>
            <w:tcBorders>
              <w:top w:val="nil"/>
              <w:left w:val="nil"/>
              <w:bottom w:val="single" w:sz="8" w:space="0" w:color="000000"/>
              <w:right w:val="nil"/>
            </w:tcBorders>
            <w:shd w:val="clear" w:color="auto" w:fill="auto"/>
            <w:noWrap/>
            <w:vAlign w:val="center"/>
          </w:tcPr>
          <w:p w14:paraId="41058E6B" w14:textId="77777777" w:rsidR="008B7822" w:rsidRDefault="00000000">
            <w:pPr>
              <w:widowControl/>
              <w:textAlignment w:val="center"/>
              <w:rPr>
                <w:rFonts w:ascii="宋体" w:hAnsi="宋体" w:cs="宋体"/>
                <w:sz w:val="24"/>
              </w:rPr>
            </w:pPr>
            <w:r>
              <w:rPr>
                <w:rFonts w:ascii="宋体" w:hAnsi="宋体" w:cs="宋体" w:hint="eastAsia"/>
                <w:kern w:val="0"/>
                <w:sz w:val="24"/>
                <w:lang w:bidi="ar"/>
              </w:rPr>
              <w:t>该方向主要研究领域为青少年心理发展与教育、中小学生学习行为测评、艺术教育等。</w:t>
            </w:r>
          </w:p>
        </w:tc>
      </w:tr>
    </w:tbl>
    <w:p w14:paraId="57423157" w14:textId="77777777" w:rsidR="008B7822" w:rsidRDefault="00000000">
      <w:pPr>
        <w:numPr>
          <w:ilvl w:val="0"/>
          <w:numId w:val="3"/>
        </w:numPr>
        <w:ind w:firstLine="640"/>
        <w:rPr>
          <w:rFonts w:ascii="楷体_GB2312" w:eastAsia="楷体_GB2312"/>
          <w:b/>
          <w:bCs/>
          <w:sz w:val="32"/>
          <w:szCs w:val="32"/>
        </w:rPr>
      </w:pPr>
      <w:r>
        <w:rPr>
          <w:rFonts w:ascii="楷体_GB2312" w:eastAsia="楷体_GB2312" w:hint="eastAsia"/>
          <w:b/>
          <w:bCs/>
          <w:sz w:val="32"/>
          <w:szCs w:val="32"/>
        </w:rPr>
        <w:t>师资队伍建设</w:t>
      </w:r>
    </w:p>
    <w:p w14:paraId="216BBB16" w14:textId="77777777" w:rsidR="008B7822" w:rsidRDefault="00000000">
      <w:pPr>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本学位点拥有一支年龄结构合理、学历层次较高的师资队伍。在职教育博士导师共计50人，其中学校课程与教学方向共计17人，学生发展与教育方向共计9人，教育领导与管理方向共计24人，本学科聚集了一批经验丰富、具有较高学术水平和学术影响力的专业教师。其中包含教育部“长江学者”特聘教授，国家“马工程”专家，湖南省优秀社科专家，湖南省优秀中青年专家，湖南省普通高校学科带头人，入选湖南省“芙蓉学者”计划，湖南省新世纪“121”人才工程，“湖南省百人工程”，“湖</w:t>
      </w:r>
      <w:r>
        <w:rPr>
          <w:rFonts w:ascii="宋体" w:hAnsi="宋体" w:cs="宋体" w:hint="eastAsia"/>
          <w:sz w:val="30"/>
          <w:szCs w:val="30"/>
          <w:shd w:val="clear" w:color="auto" w:fill="FFFFFF"/>
        </w:rPr>
        <w:lastRenderedPageBreak/>
        <w:t>湘英才”等。本学位点师资力量雄厚，且已形成具有特色鲜明和具有一定影响力的研究领域及其重点方向，如以刘铁芳为代表的古典教育研究，以容中逵为代表的乡村教育研究；以张传燧、辛继湘为代表的本土教学理论研究，以廖湘阳、常思亮为代表的学位与研究生教育研究、以易红郡为代表的英国教育研究。本学位点师资学缘结构合理，专业博导秉承认真负责，勤勉踏实的优良作风，切实关注每一名教育博士的学习与生活，拥有丰富的指导与教学经验，都是各大主题领域的核心作者，具备很强的学术影响力，为每一名教育博士的学术发展与实践能力的提升提供强大的动力支持。</w:t>
      </w:r>
    </w:p>
    <w:p w14:paraId="3CF504B9" w14:textId="77777777" w:rsidR="008B7822" w:rsidRDefault="00000000">
      <w:pPr>
        <w:numPr>
          <w:ilvl w:val="0"/>
          <w:numId w:val="3"/>
        </w:numPr>
        <w:ind w:firstLine="640"/>
        <w:rPr>
          <w:rFonts w:ascii="楷体_GB2312" w:eastAsia="楷体_GB2312"/>
          <w:b/>
          <w:bCs/>
          <w:sz w:val="32"/>
          <w:szCs w:val="32"/>
        </w:rPr>
      </w:pPr>
      <w:r>
        <w:rPr>
          <w:rFonts w:ascii="楷体_GB2312" w:eastAsia="楷体_GB2312" w:hint="eastAsia"/>
          <w:b/>
          <w:bCs/>
          <w:sz w:val="32"/>
          <w:szCs w:val="32"/>
        </w:rPr>
        <w:t>科学研究与平台建设</w:t>
      </w:r>
    </w:p>
    <w:p w14:paraId="1EC2FCDC" w14:textId="77777777" w:rsidR="008B7822" w:rsidRDefault="00000000">
      <w:pPr>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教育学专业是首批国家一流本科专业、全国高等学校特色专业、教育部卓越教师培养项目专业、湖南省高校重点专业。2018年，学院教育学入选湖南省国内一流建设学科，教育学为国家级特色专业、省级特色专业、湖南省“十二五”综合改革试点专业。教育学专业为2019年省级一流本科专业。教育学教研室为湖南省首届优秀教研室，教育科学与技术实验室为湖南省基础课示范实验室。</w:t>
      </w:r>
    </w:p>
    <w:p w14:paraId="396B3A9F" w14:textId="77777777" w:rsidR="008B7822" w:rsidRDefault="00000000">
      <w:pPr>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学院拥有一万多平方米的教学大楼，建有学术报告厅、微格教学系统、多媒体教学系统、教育技术实验室、心理实验室、教师CAI课件制作室、自然观察室、形体训练房、艺术教育室、钢琴练习室以及由期刊阅览室、开架阅览室、电子阅览室组成的拥</w:t>
      </w:r>
      <w:r>
        <w:rPr>
          <w:rFonts w:ascii="宋体" w:hAnsi="宋体" w:cs="宋体" w:hint="eastAsia"/>
          <w:sz w:val="30"/>
          <w:szCs w:val="30"/>
          <w:shd w:val="clear" w:color="auto" w:fill="FFFFFF"/>
        </w:rPr>
        <w:lastRenderedPageBreak/>
        <w:t>有3万多册藏书量的图书资料中心。与近50所国内外知名院校和科研机构开展学术交流与合作，与80余所示范性中小学校和幼儿园合作建立教育教学实践基地，与20余所高职院校、中职学校开展合作办学，在广东、江苏、浙江、江西、广西、贵州等10余个省份联合开展教育培训工作。</w:t>
      </w:r>
    </w:p>
    <w:p w14:paraId="61B4B02A" w14:textId="77777777" w:rsidR="008B7822" w:rsidRDefault="00000000">
      <w:pPr>
        <w:pStyle w:val="a7"/>
        <w:numPr>
          <w:ilvl w:val="0"/>
          <w:numId w:val="1"/>
        </w:numPr>
        <w:ind w:firstLineChars="0"/>
        <w:rPr>
          <w:rFonts w:ascii="黑体" w:eastAsia="黑体" w:hAnsi="黑体"/>
          <w:sz w:val="32"/>
          <w:szCs w:val="32"/>
        </w:rPr>
      </w:pPr>
      <w:r>
        <w:rPr>
          <w:rFonts w:ascii="黑体" w:eastAsia="黑体" w:hAnsi="黑体" w:hint="eastAsia"/>
          <w:sz w:val="32"/>
          <w:szCs w:val="32"/>
        </w:rPr>
        <w:t>学位授权点人才培养情况</w:t>
      </w:r>
    </w:p>
    <w:p w14:paraId="6BD72342" w14:textId="77777777" w:rsidR="008B7822" w:rsidRDefault="00000000">
      <w:pPr>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百年大计，教育为本。高等教育高质量发展是贯彻落实“科教兴国”战略，深度实施人才强国战略的现实要求，实施人才强国战略的工作重心是人才培养，以及充分发挥人才价值作用。我院自设置教育博士专业研究生以来，一直将育人工作作为核心工程进行系统推进，从根本上克服人才培养、使用、评价等方面的体制机制障碍。始终坚持以党的建设为引领，实践育人平台建设。坚持全过程严控招生录取工作，严把人才“入口关”，持续推进课程教学改革，严抓人才“过程关”，持续激发教育创新能力，严守人才“出口关”，着力构建质量保障体系，严控人才“质量关”，以此充分提升教育教学质量，推动教育博士高质量发展，经过二年的积极探索，已取得了一定的经验，其比较有效的重要举措如下。</w:t>
      </w:r>
    </w:p>
    <w:p w14:paraId="37707950" w14:textId="77777777" w:rsidR="008B7822" w:rsidRDefault="00000000">
      <w:pPr>
        <w:numPr>
          <w:ilvl w:val="0"/>
          <w:numId w:val="4"/>
        </w:numPr>
        <w:ind w:firstLine="640"/>
        <w:rPr>
          <w:rFonts w:ascii="楷体_GB2312" w:eastAsia="楷体_GB2312"/>
          <w:b/>
          <w:bCs/>
          <w:sz w:val="32"/>
          <w:szCs w:val="32"/>
        </w:rPr>
      </w:pPr>
      <w:r>
        <w:rPr>
          <w:rFonts w:ascii="楷体_GB2312" w:eastAsia="楷体_GB2312" w:hint="eastAsia"/>
          <w:b/>
          <w:bCs/>
          <w:sz w:val="32"/>
          <w:szCs w:val="32"/>
        </w:rPr>
        <w:t>全过程严控招生录取工作，严把“入口关”</w:t>
      </w:r>
    </w:p>
    <w:p w14:paraId="70EABFE9" w14:textId="77777777" w:rsidR="008B7822" w:rsidRDefault="00000000">
      <w:pPr>
        <w:widowControl/>
        <w:spacing w:afterLines="50" w:after="156"/>
        <w:ind w:firstLineChars="200" w:firstLine="600"/>
        <w:jc w:val="left"/>
        <w:rPr>
          <w:rFonts w:ascii="宋体" w:hAnsi="宋体" w:cs="宋体"/>
          <w:sz w:val="30"/>
          <w:szCs w:val="30"/>
          <w:shd w:val="clear" w:color="auto" w:fill="FFFFFF"/>
        </w:rPr>
      </w:pPr>
      <w:r>
        <w:rPr>
          <w:rFonts w:ascii="宋体" w:hAnsi="宋体" w:cs="宋体" w:hint="eastAsia"/>
          <w:sz w:val="30"/>
          <w:szCs w:val="30"/>
          <w:shd w:val="clear" w:color="auto" w:fill="FFFFFF"/>
        </w:rPr>
        <w:t>教育博士生教育承担着为我国培养具备研究能力的高层次教育实践工作者的重任，其培养质量同我国高质量教育体系的建成息息相关，严把招生关口，不断提高教育博士生源质量是教育</w:t>
      </w:r>
      <w:r>
        <w:rPr>
          <w:rFonts w:ascii="宋体" w:hAnsi="宋体" w:cs="宋体" w:hint="eastAsia"/>
          <w:sz w:val="30"/>
          <w:szCs w:val="30"/>
          <w:shd w:val="clear" w:color="auto" w:fill="FFFFFF"/>
        </w:rPr>
        <w:lastRenderedPageBreak/>
        <w:t>博士生培养的重要议题。学院严格遵守招生规范，严格把关教育博士招生录取工作，按照招生计划，根据考生的申请材料审查和评价结果、初试和复试成绩，以及思想政治素质和品德考核结果、体检结果等做出综合判断，整个过程公开透明，力求公平公正、择优录取。自2018年5月完成首届教育博士招生以来，2019年通过“普通招考”新招收17名，二年累计共招收27名教育博士，其中教育领导与管理方向共15名，约占总人数56%；学校课程与教学方向共12人，约占总人数44%，其报考和录取详细情况如表2。就2019年的生源结构而言，8人来自本科院校，1人来自高职（高专）院校，8人来自幼儿园、中小学，来源结构合理，质量较高。</w:t>
      </w:r>
    </w:p>
    <w:p w14:paraId="78D14347" w14:textId="77777777" w:rsidR="008B7822" w:rsidRDefault="00000000">
      <w:pPr>
        <w:spacing w:afterLines="50" w:after="156"/>
        <w:ind w:firstLine="420"/>
        <w:jc w:val="center"/>
        <w:rPr>
          <w:rFonts w:ascii="宋体" w:hAnsi="宋体" w:cs="宋体"/>
          <w:sz w:val="30"/>
          <w:szCs w:val="30"/>
          <w:shd w:val="clear" w:color="auto" w:fill="FFFFFF"/>
        </w:rPr>
      </w:pPr>
      <w:r>
        <w:rPr>
          <w:rFonts w:ascii="宋体" w:hAnsi="宋体" w:cs="宋体" w:hint="eastAsia"/>
          <w:sz w:val="30"/>
          <w:szCs w:val="30"/>
          <w:shd w:val="clear" w:color="auto" w:fill="FFFFFF"/>
        </w:rPr>
        <w:t>表2：2018-2019年教育博士招生录取人数</w:t>
      </w:r>
    </w:p>
    <w:tbl>
      <w:tblPr>
        <w:tblStyle w:val="a6"/>
        <w:tblW w:w="8830" w:type="dxa"/>
        <w:tblInd w:w="-108" w:type="dxa"/>
        <w:tblLayout w:type="fixed"/>
        <w:tblLook w:val="04A0" w:firstRow="1" w:lastRow="0" w:firstColumn="1" w:lastColumn="0" w:noHBand="0" w:noVBand="1"/>
      </w:tblPr>
      <w:tblGrid>
        <w:gridCol w:w="850"/>
        <w:gridCol w:w="770"/>
        <w:gridCol w:w="790"/>
        <w:gridCol w:w="810"/>
        <w:gridCol w:w="830"/>
        <w:gridCol w:w="760"/>
        <w:gridCol w:w="790"/>
        <w:gridCol w:w="820"/>
        <w:gridCol w:w="840"/>
        <w:gridCol w:w="870"/>
        <w:gridCol w:w="700"/>
      </w:tblGrid>
      <w:tr w:rsidR="008B7822" w14:paraId="00D65A68" w14:textId="77777777">
        <w:trPr>
          <w:trHeight w:val="291"/>
        </w:trPr>
        <w:tc>
          <w:tcPr>
            <w:tcW w:w="850" w:type="dxa"/>
            <w:vMerge w:val="restart"/>
          </w:tcPr>
          <w:p w14:paraId="0F0F01E4" w14:textId="77777777" w:rsidR="008B7822" w:rsidRDefault="00000000">
            <w:pPr>
              <w:rPr>
                <w:sz w:val="24"/>
              </w:rPr>
            </w:pPr>
            <w:r>
              <w:rPr>
                <w:rFonts w:hint="eastAsia"/>
                <w:sz w:val="24"/>
              </w:rPr>
              <w:t xml:space="preserve">        </w:t>
            </w:r>
          </w:p>
          <w:p w14:paraId="4DC84E7C" w14:textId="77777777" w:rsidR="008B7822" w:rsidRDefault="00000000">
            <w:pPr>
              <w:snapToGrid w:val="0"/>
              <w:rPr>
                <w:sz w:val="24"/>
              </w:rPr>
            </w:pPr>
            <w:r>
              <w:rPr>
                <w:rFonts w:hint="eastAsia"/>
                <w:sz w:val="24"/>
              </w:rPr>
              <w:t>年</w:t>
            </w:r>
          </w:p>
          <w:p w14:paraId="1877CFE7" w14:textId="77777777" w:rsidR="008B7822" w:rsidRDefault="00000000">
            <w:pPr>
              <w:rPr>
                <w:sz w:val="24"/>
              </w:rPr>
            </w:pPr>
            <w:r>
              <w:rPr>
                <w:rFonts w:hint="eastAsia"/>
                <w:sz w:val="24"/>
              </w:rPr>
              <w:t>专业</w:t>
            </w:r>
          </w:p>
        </w:tc>
        <w:tc>
          <w:tcPr>
            <w:tcW w:w="2370" w:type="dxa"/>
            <w:gridSpan w:val="3"/>
          </w:tcPr>
          <w:p w14:paraId="476F9720" w14:textId="77777777" w:rsidR="008B7822" w:rsidRDefault="00000000">
            <w:pPr>
              <w:ind w:firstLineChars="100" w:firstLine="240"/>
              <w:rPr>
                <w:sz w:val="24"/>
              </w:rPr>
            </w:pPr>
            <w:r>
              <w:rPr>
                <w:rFonts w:hint="eastAsia"/>
                <w:sz w:val="24"/>
              </w:rPr>
              <w:t>教育领导与管理</w:t>
            </w:r>
          </w:p>
        </w:tc>
        <w:tc>
          <w:tcPr>
            <w:tcW w:w="2380" w:type="dxa"/>
            <w:gridSpan w:val="3"/>
          </w:tcPr>
          <w:p w14:paraId="1F058809" w14:textId="77777777" w:rsidR="008B7822" w:rsidRDefault="00000000">
            <w:pPr>
              <w:ind w:firstLineChars="100" w:firstLine="240"/>
              <w:rPr>
                <w:sz w:val="24"/>
              </w:rPr>
            </w:pPr>
            <w:r>
              <w:rPr>
                <w:rFonts w:hint="eastAsia"/>
                <w:sz w:val="24"/>
              </w:rPr>
              <w:t>学校课程与教学</w:t>
            </w:r>
          </w:p>
        </w:tc>
        <w:tc>
          <w:tcPr>
            <w:tcW w:w="2530" w:type="dxa"/>
            <w:gridSpan w:val="3"/>
          </w:tcPr>
          <w:p w14:paraId="324079D7" w14:textId="77777777" w:rsidR="008B7822" w:rsidRDefault="00000000">
            <w:pPr>
              <w:ind w:firstLineChars="100" w:firstLine="240"/>
              <w:rPr>
                <w:sz w:val="24"/>
              </w:rPr>
            </w:pPr>
            <w:r>
              <w:rPr>
                <w:rFonts w:hint="eastAsia"/>
                <w:sz w:val="24"/>
              </w:rPr>
              <w:t>学生发展与教育</w:t>
            </w:r>
          </w:p>
        </w:tc>
        <w:tc>
          <w:tcPr>
            <w:tcW w:w="700" w:type="dxa"/>
          </w:tcPr>
          <w:p w14:paraId="6E8F0C43" w14:textId="77777777" w:rsidR="008B7822" w:rsidRDefault="00000000">
            <w:pPr>
              <w:rPr>
                <w:sz w:val="24"/>
              </w:rPr>
            </w:pPr>
            <w:r>
              <w:rPr>
                <w:rFonts w:hint="eastAsia"/>
                <w:sz w:val="24"/>
              </w:rPr>
              <w:t>总数</w:t>
            </w:r>
          </w:p>
        </w:tc>
      </w:tr>
      <w:tr w:rsidR="008B7822" w14:paraId="36C8876C" w14:textId="77777777">
        <w:trPr>
          <w:trHeight w:val="293"/>
        </w:trPr>
        <w:tc>
          <w:tcPr>
            <w:tcW w:w="850" w:type="dxa"/>
            <w:vMerge/>
          </w:tcPr>
          <w:p w14:paraId="3A570932" w14:textId="77777777" w:rsidR="008B7822" w:rsidRDefault="008B7822">
            <w:pPr>
              <w:ind w:firstLineChars="200" w:firstLine="480"/>
              <w:rPr>
                <w:sz w:val="24"/>
              </w:rPr>
            </w:pPr>
          </w:p>
        </w:tc>
        <w:tc>
          <w:tcPr>
            <w:tcW w:w="770" w:type="dxa"/>
          </w:tcPr>
          <w:p w14:paraId="38088C99" w14:textId="77777777" w:rsidR="008B7822" w:rsidRDefault="00000000">
            <w:pPr>
              <w:rPr>
                <w:sz w:val="24"/>
              </w:rPr>
            </w:pPr>
            <w:r>
              <w:rPr>
                <w:rFonts w:hint="eastAsia"/>
                <w:sz w:val="24"/>
              </w:rPr>
              <w:t>网报数</w:t>
            </w:r>
          </w:p>
        </w:tc>
        <w:tc>
          <w:tcPr>
            <w:tcW w:w="790" w:type="dxa"/>
          </w:tcPr>
          <w:p w14:paraId="3B0688D2" w14:textId="77777777" w:rsidR="008B7822" w:rsidRDefault="00000000">
            <w:pPr>
              <w:rPr>
                <w:sz w:val="24"/>
              </w:rPr>
            </w:pPr>
            <w:r>
              <w:rPr>
                <w:rFonts w:hint="eastAsia"/>
                <w:sz w:val="24"/>
              </w:rPr>
              <w:t>录取数</w:t>
            </w:r>
          </w:p>
        </w:tc>
        <w:tc>
          <w:tcPr>
            <w:tcW w:w="810" w:type="dxa"/>
          </w:tcPr>
          <w:p w14:paraId="04BBC5D2" w14:textId="77777777" w:rsidR="008B7822" w:rsidRDefault="00000000">
            <w:pPr>
              <w:rPr>
                <w:sz w:val="24"/>
              </w:rPr>
            </w:pPr>
            <w:r>
              <w:rPr>
                <w:rFonts w:hint="eastAsia"/>
                <w:sz w:val="24"/>
              </w:rPr>
              <w:t>报录比</w:t>
            </w:r>
          </w:p>
        </w:tc>
        <w:tc>
          <w:tcPr>
            <w:tcW w:w="830" w:type="dxa"/>
          </w:tcPr>
          <w:p w14:paraId="32A0C17D" w14:textId="77777777" w:rsidR="008B7822" w:rsidRDefault="00000000">
            <w:pPr>
              <w:rPr>
                <w:rFonts w:ascii="Calibri" w:hAnsi="Calibri"/>
                <w:sz w:val="24"/>
              </w:rPr>
            </w:pPr>
            <w:r>
              <w:rPr>
                <w:rFonts w:hint="eastAsia"/>
                <w:sz w:val="24"/>
              </w:rPr>
              <w:t>网报数</w:t>
            </w:r>
          </w:p>
        </w:tc>
        <w:tc>
          <w:tcPr>
            <w:tcW w:w="760" w:type="dxa"/>
          </w:tcPr>
          <w:p w14:paraId="5C2B94BA" w14:textId="77777777" w:rsidR="008B7822" w:rsidRDefault="00000000">
            <w:pPr>
              <w:rPr>
                <w:rFonts w:ascii="Calibri" w:hAnsi="Calibri"/>
                <w:sz w:val="24"/>
              </w:rPr>
            </w:pPr>
            <w:r>
              <w:rPr>
                <w:rFonts w:hint="eastAsia"/>
                <w:sz w:val="24"/>
              </w:rPr>
              <w:t>录取数</w:t>
            </w:r>
          </w:p>
        </w:tc>
        <w:tc>
          <w:tcPr>
            <w:tcW w:w="790" w:type="dxa"/>
          </w:tcPr>
          <w:p w14:paraId="0EF585E1" w14:textId="77777777" w:rsidR="008B7822" w:rsidRDefault="00000000">
            <w:pPr>
              <w:rPr>
                <w:rFonts w:ascii="Calibri" w:hAnsi="Calibri"/>
                <w:sz w:val="24"/>
              </w:rPr>
            </w:pPr>
            <w:r>
              <w:rPr>
                <w:rFonts w:hint="eastAsia"/>
                <w:sz w:val="24"/>
              </w:rPr>
              <w:t>报录比</w:t>
            </w:r>
          </w:p>
        </w:tc>
        <w:tc>
          <w:tcPr>
            <w:tcW w:w="820" w:type="dxa"/>
          </w:tcPr>
          <w:p w14:paraId="7C1DC833" w14:textId="77777777" w:rsidR="008B7822" w:rsidRDefault="00000000">
            <w:pPr>
              <w:rPr>
                <w:rFonts w:ascii="Calibri" w:hAnsi="Calibri"/>
                <w:sz w:val="24"/>
              </w:rPr>
            </w:pPr>
            <w:r>
              <w:rPr>
                <w:rFonts w:hint="eastAsia"/>
                <w:sz w:val="24"/>
              </w:rPr>
              <w:t>网报数</w:t>
            </w:r>
          </w:p>
        </w:tc>
        <w:tc>
          <w:tcPr>
            <w:tcW w:w="840" w:type="dxa"/>
          </w:tcPr>
          <w:p w14:paraId="1D9646F6" w14:textId="77777777" w:rsidR="008B7822" w:rsidRDefault="00000000">
            <w:pPr>
              <w:rPr>
                <w:rFonts w:ascii="Calibri" w:hAnsi="Calibri"/>
                <w:sz w:val="24"/>
              </w:rPr>
            </w:pPr>
            <w:r>
              <w:rPr>
                <w:rFonts w:hint="eastAsia"/>
                <w:sz w:val="24"/>
              </w:rPr>
              <w:t>录取数</w:t>
            </w:r>
          </w:p>
        </w:tc>
        <w:tc>
          <w:tcPr>
            <w:tcW w:w="870" w:type="dxa"/>
          </w:tcPr>
          <w:p w14:paraId="292D1DB7" w14:textId="77777777" w:rsidR="008B7822" w:rsidRDefault="00000000">
            <w:pPr>
              <w:rPr>
                <w:rFonts w:ascii="Calibri" w:hAnsi="Calibri"/>
                <w:sz w:val="24"/>
              </w:rPr>
            </w:pPr>
            <w:r>
              <w:rPr>
                <w:rFonts w:hint="eastAsia"/>
                <w:sz w:val="24"/>
              </w:rPr>
              <w:t>报录比</w:t>
            </w:r>
          </w:p>
        </w:tc>
        <w:tc>
          <w:tcPr>
            <w:tcW w:w="700" w:type="dxa"/>
          </w:tcPr>
          <w:p w14:paraId="42D9C0DC" w14:textId="77777777" w:rsidR="008B7822" w:rsidRDefault="008B7822">
            <w:pPr>
              <w:rPr>
                <w:sz w:val="24"/>
              </w:rPr>
            </w:pPr>
          </w:p>
        </w:tc>
      </w:tr>
      <w:tr w:rsidR="008B7822" w14:paraId="0D9209A3" w14:textId="77777777">
        <w:tc>
          <w:tcPr>
            <w:tcW w:w="850" w:type="dxa"/>
          </w:tcPr>
          <w:p w14:paraId="4600095C" w14:textId="77777777" w:rsidR="008B7822" w:rsidRDefault="00000000">
            <w:pPr>
              <w:rPr>
                <w:sz w:val="24"/>
              </w:rPr>
            </w:pPr>
            <w:r>
              <w:rPr>
                <w:rFonts w:hint="eastAsia"/>
                <w:sz w:val="24"/>
              </w:rPr>
              <w:t>2018</w:t>
            </w:r>
          </w:p>
        </w:tc>
        <w:tc>
          <w:tcPr>
            <w:tcW w:w="770" w:type="dxa"/>
          </w:tcPr>
          <w:p w14:paraId="0A73E112" w14:textId="77777777" w:rsidR="008B7822" w:rsidRDefault="00000000">
            <w:pPr>
              <w:rPr>
                <w:sz w:val="24"/>
              </w:rPr>
            </w:pPr>
            <w:r>
              <w:rPr>
                <w:rFonts w:hint="eastAsia"/>
                <w:sz w:val="24"/>
              </w:rPr>
              <w:t>60</w:t>
            </w:r>
          </w:p>
        </w:tc>
        <w:tc>
          <w:tcPr>
            <w:tcW w:w="790" w:type="dxa"/>
          </w:tcPr>
          <w:p w14:paraId="1A8E306E" w14:textId="77777777" w:rsidR="008B7822" w:rsidRDefault="00000000">
            <w:pPr>
              <w:rPr>
                <w:rFonts w:ascii="Calibri" w:hAnsi="Calibri"/>
                <w:b/>
                <w:bCs/>
                <w:sz w:val="24"/>
              </w:rPr>
            </w:pPr>
            <w:r>
              <w:rPr>
                <w:rFonts w:hint="eastAsia"/>
                <w:b/>
                <w:bCs/>
                <w:sz w:val="24"/>
              </w:rPr>
              <w:t>6</w:t>
            </w:r>
          </w:p>
        </w:tc>
        <w:tc>
          <w:tcPr>
            <w:tcW w:w="810" w:type="dxa"/>
          </w:tcPr>
          <w:p w14:paraId="5BE4AAF9" w14:textId="77777777" w:rsidR="008B7822" w:rsidRDefault="00000000">
            <w:pPr>
              <w:rPr>
                <w:sz w:val="24"/>
              </w:rPr>
            </w:pPr>
            <w:r>
              <w:rPr>
                <w:rFonts w:hint="eastAsia"/>
                <w:sz w:val="24"/>
              </w:rPr>
              <w:t>10:1</w:t>
            </w:r>
          </w:p>
        </w:tc>
        <w:tc>
          <w:tcPr>
            <w:tcW w:w="830" w:type="dxa"/>
          </w:tcPr>
          <w:p w14:paraId="6E800971" w14:textId="77777777" w:rsidR="008B7822" w:rsidRDefault="00000000">
            <w:pPr>
              <w:rPr>
                <w:sz w:val="24"/>
              </w:rPr>
            </w:pPr>
            <w:r>
              <w:rPr>
                <w:rFonts w:hint="eastAsia"/>
                <w:sz w:val="24"/>
              </w:rPr>
              <w:t>29</w:t>
            </w:r>
          </w:p>
        </w:tc>
        <w:tc>
          <w:tcPr>
            <w:tcW w:w="760" w:type="dxa"/>
          </w:tcPr>
          <w:p w14:paraId="40F71EF9" w14:textId="77777777" w:rsidR="008B7822" w:rsidRDefault="00000000">
            <w:pPr>
              <w:rPr>
                <w:rFonts w:ascii="Calibri" w:hAnsi="Calibri"/>
                <w:b/>
                <w:bCs/>
                <w:sz w:val="24"/>
              </w:rPr>
            </w:pPr>
            <w:r>
              <w:rPr>
                <w:rFonts w:hint="eastAsia"/>
                <w:b/>
                <w:bCs/>
                <w:sz w:val="24"/>
              </w:rPr>
              <w:t>4</w:t>
            </w:r>
          </w:p>
        </w:tc>
        <w:tc>
          <w:tcPr>
            <w:tcW w:w="790" w:type="dxa"/>
          </w:tcPr>
          <w:p w14:paraId="636C1816" w14:textId="77777777" w:rsidR="008B7822" w:rsidRDefault="00000000">
            <w:pPr>
              <w:rPr>
                <w:sz w:val="24"/>
              </w:rPr>
            </w:pPr>
            <w:r>
              <w:rPr>
                <w:rFonts w:hint="eastAsia"/>
                <w:sz w:val="24"/>
              </w:rPr>
              <w:t>7:1</w:t>
            </w:r>
          </w:p>
        </w:tc>
        <w:tc>
          <w:tcPr>
            <w:tcW w:w="820" w:type="dxa"/>
          </w:tcPr>
          <w:p w14:paraId="44E4F7D5" w14:textId="77777777" w:rsidR="008B7822" w:rsidRDefault="00000000">
            <w:pPr>
              <w:rPr>
                <w:sz w:val="24"/>
              </w:rPr>
            </w:pPr>
            <w:r>
              <w:rPr>
                <w:rFonts w:ascii="宋体" w:hAnsi="宋体" w:cs="宋体" w:hint="eastAsia"/>
                <w:kern w:val="0"/>
                <w:sz w:val="24"/>
                <w:lang w:bidi="ar"/>
              </w:rPr>
              <w:t>/</w:t>
            </w:r>
          </w:p>
        </w:tc>
        <w:tc>
          <w:tcPr>
            <w:tcW w:w="840" w:type="dxa"/>
          </w:tcPr>
          <w:p w14:paraId="1F04792D" w14:textId="77777777" w:rsidR="008B7822" w:rsidRDefault="00000000">
            <w:pPr>
              <w:rPr>
                <w:rFonts w:ascii="Calibri" w:hAnsi="Calibri"/>
                <w:sz w:val="24"/>
              </w:rPr>
            </w:pPr>
            <w:r>
              <w:rPr>
                <w:rFonts w:ascii="宋体" w:hAnsi="宋体" w:cs="宋体" w:hint="eastAsia"/>
                <w:kern w:val="0"/>
                <w:sz w:val="24"/>
                <w:lang w:bidi="ar"/>
              </w:rPr>
              <w:t>/</w:t>
            </w:r>
          </w:p>
        </w:tc>
        <w:tc>
          <w:tcPr>
            <w:tcW w:w="870" w:type="dxa"/>
          </w:tcPr>
          <w:p w14:paraId="09A9822D" w14:textId="77777777" w:rsidR="008B7822" w:rsidRDefault="00000000">
            <w:pPr>
              <w:rPr>
                <w:sz w:val="24"/>
              </w:rPr>
            </w:pPr>
            <w:r>
              <w:rPr>
                <w:rFonts w:ascii="宋体" w:hAnsi="宋体" w:cs="宋体" w:hint="eastAsia"/>
                <w:kern w:val="0"/>
                <w:sz w:val="24"/>
                <w:lang w:bidi="ar"/>
              </w:rPr>
              <w:t>/</w:t>
            </w:r>
          </w:p>
        </w:tc>
        <w:tc>
          <w:tcPr>
            <w:tcW w:w="700" w:type="dxa"/>
          </w:tcPr>
          <w:p w14:paraId="46F3AF1F" w14:textId="77777777" w:rsidR="008B7822" w:rsidRDefault="00000000">
            <w:pPr>
              <w:rPr>
                <w:b/>
                <w:bCs/>
                <w:sz w:val="24"/>
              </w:rPr>
            </w:pPr>
            <w:r>
              <w:rPr>
                <w:rFonts w:hint="eastAsia"/>
                <w:b/>
                <w:bCs/>
                <w:sz w:val="24"/>
              </w:rPr>
              <w:t>10</w:t>
            </w:r>
          </w:p>
        </w:tc>
      </w:tr>
      <w:tr w:rsidR="008B7822" w14:paraId="580F80D1" w14:textId="77777777">
        <w:tc>
          <w:tcPr>
            <w:tcW w:w="850" w:type="dxa"/>
          </w:tcPr>
          <w:p w14:paraId="36886FBB" w14:textId="77777777" w:rsidR="008B7822" w:rsidRDefault="00000000">
            <w:pPr>
              <w:rPr>
                <w:sz w:val="24"/>
              </w:rPr>
            </w:pPr>
            <w:r>
              <w:rPr>
                <w:rFonts w:hint="eastAsia"/>
                <w:sz w:val="24"/>
              </w:rPr>
              <w:t>2019</w:t>
            </w:r>
          </w:p>
        </w:tc>
        <w:tc>
          <w:tcPr>
            <w:tcW w:w="770" w:type="dxa"/>
          </w:tcPr>
          <w:p w14:paraId="2B3337A5" w14:textId="77777777" w:rsidR="008B7822" w:rsidRDefault="00000000">
            <w:pPr>
              <w:rPr>
                <w:sz w:val="24"/>
              </w:rPr>
            </w:pPr>
            <w:r>
              <w:rPr>
                <w:rFonts w:hint="eastAsia"/>
                <w:sz w:val="24"/>
              </w:rPr>
              <w:t>65</w:t>
            </w:r>
          </w:p>
        </w:tc>
        <w:tc>
          <w:tcPr>
            <w:tcW w:w="790" w:type="dxa"/>
          </w:tcPr>
          <w:p w14:paraId="66EA7F31" w14:textId="77777777" w:rsidR="008B7822" w:rsidRDefault="00000000">
            <w:pPr>
              <w:rPr>
                <w:rFonts w:ascii="Calibri" w:hAnsi="Calibri"/>
                <w:b/>
                <w:bCs/>
                <w:sz w:val="24"/>
              </w:rPr>
            </w:pPr>
            <w:r>
              <w:rPr>
                <w:rFonts w:hint="eastAsia"/>
                <w:b/>
                <w:bCs/>
                <w:sz w:val="24"/>
              </w:rPr>
              <w:t>9</w:t>
            </w:r>
          </w:p>
        </w:tc>
        <w:tc>
          <w:tcPr>
            <w:tcW w:w="810" w:type="dxa"/>
          </w:tcPr>
          <w:p w14:paraId="4D1E7B3A" w14:textId="77777777" w:rsidR="008B7822" w:rsidRDefault="00000000">
            <w:pPr>
              <w:rPr>
                <w:sz w:val="24"/>
              </w:rPr>
            </w:pPr>
            <w:r>
              <w:rPr>
                <w:rFonts w:hint="eastAsia"/>
                <w:sz w:val="24"/>
              </w:rPr>
              <w:t>7:1</w:t>
            </w:r>
          </w:p>
        </w:tc>
        <w:tc>
          <w:tcPr>
            <w:tcW w:w="830" w:type="dxa"/>
          </w:tcPr>
          <w:p w14:paraId="256A46A6" w14:textId="77777777" w:rsidR="008B7822" w:rsidRDefault="00000000">
            <w:pPr>
              <w:rPr>
                <w:sz w:val="24"/>
              </w:rPr>
            </w:pPr>
            <w:r>
              <w:rPr>
                <w:rFonts w:hint="eastAsia"/>
                <w:sz w:val="24"/>
              </w:rPr>
              <w:t>22</w:t>
            </w:r>
          </w:p>
        </w:tc>
        <w:tc>
          <w:tcPr>
            <w:tcW w:w="760" w:type="dxa"/>
          </w:tcPr>
          <w:p w14:paraId="79251B54" w14:textId="77777777" w:rsidR="008B7822" w:rsidRDefault="00000000">
            <w:pPr>
              <w:rPr>
                <w:rFonts w:ascii="Calibri" w:hAnsi="Calibri"/>
                <w:b/>
                <w:bCs/>
                <w:sz w:val="24"/>
              </w:rPr>
            </w:pPr>
            <w:r>
              <w:rPr>
                <w:rFonts w:hint="eastAsia"/>
                <w:b/>
                <w:bCs/>
                <w:sz w:val="24"/>
              </w:rPr>
              <w:t>8</w:t>
            </w:r>
          </w:p>
        </w:tc>
        <w:tc>
          <w:tcPr>
            <w:tcW w:w="790" w:type="dxa"/>
          </w:tcPr>
          <w:p w14:paraId="1F965B3B" w14:textId="77777777" w:rsidR="008B7822" w:rsidRDefault="00000000">
            <w:pPr>
              <w:rPr>
                <w:sz w:val="24"/>
              </w:rPr>
            </w:pPr>
            <w:r>
              <w:rPr>
                <w:rFonts w:hint="eastAsia"/>
                <w:sz w:val="24"/>
              </w:rPr>
              <w:t>3:1</w:t>
            </w:r>
          </w:p>
        </w:tc>
        <w:tc>
          <w:tcPr>
            <w:tcW w:w="820" w:type="dxa"/>
          </w:tcPr>
          <w:p w14:paraId="6636A7B2" w14:textId="77777777" w:rsidR="008B7822" w:rsidRDefault="00000000">
            <w:pPr>
              <w:rPr>
                <w:sz w:val="24"/>
              </w:rPr>
            </w:pPr>
            <w:r>
              <w:rPr>
                <w:rFonts w:ascii="宋体" w:hAnsi="宋体" w:cs="宋体" w:hint="eastAsia"/>
                <w:kern w:val="0"/>
                <w:sz w:val="24"/>
                <w:lang w:bidi="ar"/>
              </w:rPr>
              <w:t>/</w:t>
            </w:r>
          </w:p>
        </w:tc>
        <w:tc>
          <w:tcPr>
            <w:tcW w:w="840" w:type="dxa"/>
          </w:tcPr>
          <w:p w14:paraId="59CC3985" w14:textId="77777777" w:rsidR="008B7822" w:rsidRDefault="00000000">
            <w:pPr>
              <w:rPr>
                <w:rFonts w:ascii="Calibri" w:hAnsi="Calibri"/>
                <w:sz w:val="24"/>
              </w:rPr>
            </w:pPr>
            <w:r>
              <w:rPr>
                <w:rFonts w:ascii="宋体" w:hAnsi="宋体" w:cs="宋体" w:hint="eastAsia"/>
                <w:kern w:val="0"/>
                <w:sz w:val="24"/>
                <w:lang w:bidi="ar"/>
              </w:rPr>
              <w:t>/</w:t>
            </w:r>
          </w:p>
        </w:tc>
        <w:tc>
          <w:tcPr>
            <w:tcW w:w="870" w:type="dxa"/>
          </w:tcPr>
          <w:p w14:paraId="0AC785B3" w14:textId="77777777" w:rsidR="008B7822" w:rsidRDefault="00000000">
            <w:pPr>
              <w:rPr>
                <w:sz w:val="24"/>
              </w:rPr>
            </w:pPr>
            <w:r>
              <w:rPr>
                <w:rFonts w:ascii="宋体" w:hAnsi="宋体" w:cs="宋体" w:hint="eastAsia"/>
                <w:kern w:val="0"/>
                <w:sz w:val="24"/>
                <w:lang w:bidi="ar"/>
              </w:rPr>
              <w:t>/</w:t>
            </w:r>
          </w:p>
        </w:tc>
        <w:tc>
          <w:tcPr>
            <w:tcW w:w="700" w:type="dxa"/>
          </w:tcPr>
          <w:p w14:paraId="2360EA76" w14:textId="77777777" w:rsidR="008B7822" w:rsidRDefault="00000000">
            <w:pPr>
              <w:rPr>
                <w:b/>
                <w:bCs/>
                <w:sz w:val="24"/>
              </w:rPr>
            </w:pPr>
            <w:r>
              <w:rPr>
                <w:rFonts w:hint="eastAsia"/>
                <w:b/>
                <w:bCs/>
                <w:sz w:val="24"/>
              </w:rPr>
              <w:t>17</w:t>
            </w:r>
          </w:p>
        </w:tc>
      </w:tr>
      <w:tr w:rsidR="008B7822" w14:paraId="2B5EB28F" w14:textId="77777777">
        <w:tc>
          <w:tcPr>
            <w:tcW w:w="850" w:type="dxa"/>
          </w:tcPr>
          <w:p w14:paraId="65CDA47F" w14:textId="77777777" w:rsidR="008B7822" w:rsidRDefault="00000000">
            <w:pPr>
              <w:rPr>
                <w:sz w:val="24"/>
              </w:rPr>
            </w:pPr>
            <w:r>
              <w:rPr>
                <w:rFonts w:hint="eastAsia"/>
                <w:sz w:val="24"/>
              </w:rPr>
              <w:t>总数</w:t>
            </w:r>
          </w:p>
        </w:tc>
        <w:tc>
          <w:tcPr>
            <w:tcW w:w="770" w:type="dxa"/>
          </w:tcPr>
          <w:p w14:paraId="1D2C7C6C" w14:textId="77777777" w:rsidR="008B7822" w:rsidRDefault="008B7822">
            <w:pPr>
              <w:rPr>
                <w:sz w:val="24"/>
              </w:rPr>
            </w:pPr>
          </w:p>
        </w:tc>
        <w:tc>
          <w:tcPr>
            <w:tcW w:w="790" w:type="dxa"/>
          </w:tcPr>
          <w:p w14:paraId="4EADFE5F" w14:textId="77777777" w:rsidR="008B7822" w:rsidRDefault="00000000">
            <w:pPr>
              <w:rPr>
                <w:b/>
                <w:bCs/>
                <w:sz w:val="24"/>
              </w:rPr>
            </w:pPr>
            <w:r>
              <w:rPr>
                <w:rFonts w:hint="eastAsia"/>
                <w:b/>
                <w:bCs/>
                <w:sz w:val="24"/>
              </w:rPr>
              <w:t>15</w:t>
            </w:r>
          </w:p>
        </w:tc>
        <w:tc>
          <w:tcPr>
            <w:tcW w:w="810" w:type="dxa"/>
          </w:tcPr>
          <w:p w14:paraId="040452C4" w14:textId="77777777" w:rsidR="008B7822" w:rsidRDefault="008B7822">
            <w:pPr>
              <w:rPr>
                <w:sz w:val="24"/>
              </w:rPr>
            </w:pPr>
          </w:p>
        </w:tc>
        <w:tc>
          <w:tcPr>
            <w:tcW w:w="830" w:type="dxa"/>
          </w:tcPr>
          <w:p w14:paraId="34E7CAEC" w14:textId="77777777" w:rsidR="008B7822" w:rsidRDefault="008B7822">
            <w:pPr>
              <w:rPr>
                <w:sz w:val="24"/>
              </w:rPr>
            </w:pPr>
          </w:p>
        </w:tc>
        <w:tc>
          <w:tcPr>
            <w:tcW w:w="760" w:type="dxa"/>
          </w:tcPr>
          <w:p w14:paraId="3B608F89" w14:textId="77777777" w:rsidR="008B7822" w:rsidRDefault="00000000">
            <w:pPr>
              <w:rPr>
                <w:b/>
                <w:bCs/>
                <w:sz w:val="24"/>
              </w:rPr>
            </w:pPr>
            <w:r>
              <w:rPr>
                <w:rFonts w:hint="eastAsia"/>
                <w:b/>
                <w:bCs/>
                <w:sz w:val="24"/>
              </w:rPr>
              <w:t>12</w:t>
            </w:r>
          </w:p>
        </w:tc>
        <w:tc>
          <w:tcPr>
            <w:tcW w:w="790" w:type="dxa"/>
          </w:tcPr>
          <w:p w14:paraId="026F3F68" w14:textId="77777777" w:rsidR="008B7822" w:rsidRDefault="008B7822">
            <w:pPr>
              <w:rPr>
                <w:sz w:val="24"/>
              </w:rPr>
            </w:pPr>
          </w:p>
        </w:tc>
        <w:tc>
          <w:tcPr>
            <w:tcW w:w="820" w:type="dxa"/>
          </w:tcPr>
          <w:p w14:paraId="00E03AF2" w14:textId="77777777" w:rsidR="008B7822" w:rsidRDefault="008B7822">
            <w:pPr>
              <w:rPr>
                <w:sz w:val="24"/>
              </w:rPr>
            </w:pPr>
          </w:p>
        </w:tc>
        <w:tc>
          <w:tcPr>
            <w:tcW w:w="840" w:type="dxa"/>
          </w:tcPr>
          <w:p w14:paraId="3542184E" w14:textId="77777777" w:rsidR="008B7822" w:rsidRDefault="008B7822">
            <w:pPr>
              <w:rPr>
                <w:b/>
                <w:bCs/>
                <w:sz w:val="24"/>
              </w:rPr>
            </w:pPr>
          </w:p>
        </w:tc>
        <w:tc>
          <w:tcPr>
            <w:tcW w:w="870" w:type="dxa"/>
          </w:tcPr>
          <w:p w14:paraId="43AB3043" w14:textId="77777777" w:rsidR="008B7822" w:rsidRDefault="008B7822">
            <w:pPr>
              <w:rPr>
                <w:sz w:val="24"/>
              </w:rPr>
            </w:pPr>
          </w:p>
        </w:tc>
        <w:tc>
          <w:tcPr>
            <w:tcW w:w="700" w:type="dxa"/>
          </w:tcPr>
          <w:p w14:paraId="19674F6C" w14:textId="77777777" w:rsidR="008B7822" w:rsidRDefault="00000000">
            <w:pPr>
              <w:rPr>
                <w:b/>
                <w:bCs/>
                <w:sz w:val="24"/>
              </w:rPr>
            </w:pPr>
            <w:r>
              <w:rPr>
                <w:rFonts w:hint="eastAsia"/>
                <w:b/>
                <w:bCs/>
                <w:sz w:val="24"/>
              </w:rPr>
              <w:t>27</w:t>
            </w:r>
          </w:p>
        </w:tc>
      </w:tr>
    </w:tbl>
    <w:p w14:paraId="6AF4E6FF" w14:textId="77777777" w:rsidR="008B7822" w:rsidRDefault="00000000">
      <w:pPr>
        <w:numPr>
          <w:ilvl w:val="0"/>
          <w:numId w:val="4"/>
        </w:numPr>
        <w:ind w:firstLine="640"/>
        <w:rPr>
          <w:rFonts w:ascii="楷体_GB2312" w:eastAsia="楷体_GB2312"/>
          <w:b/>
          <w:bCs/>
          <w:sz w:val="32"/>
          <w:szCs w:val="32"/>
        </w:rPr>
      </w:pPr>
      <w:r>
        <w:rPr>
          <w:rFonts w:ascii="楷体_GB2312" w:eastAsia="楷体_GB2312" w:hint="eastAsia"/>
          <w:b/>
          <w:bCs/>
          <w:sz w:val="32"/>
          <w:szCs w:val="32"/>
        </w:rPr>
        <w:t>持续推进课程教学改革，严抓“过程关”</w:t>
      </w:r>
    </w:p>
    <w:p w14:paraId="504EB6AD" w14:textId="77777777" w:rsidR="008B7822" w:rsidRDefault="00000000">
      <w:pPr>
        <w:ind w:firstLine="640"/>
        <w:rPr>
          <w:rFonts w:ascii="宋体" w:hAnsi="宋体" w:cs="宋体"/>
          <w:sz w:val="30"/>
          <w:szCs w:val="30"/>
          <w:shd w:val="clear" w:color="auto" w:fill="FFFFFF"/>
        </w:rPr>
      </w:pPr>
      <w:r>
        <w:rPr>
          <w:rFonts w:ascii="宋体" w:hAnsi="宋体" w:cs="宋体" w:hint="eastAsia"/>
          <w:sz w:val="30"/>
          <w:szCs w:val="30"/>
          <w:shd w:val="clear" w:color="auto" w:fill="FFFFFF"/>
        </w:rPr>
        <w:t>学院为落实国务院学位委员会于 2008 年 12 月颁布的《教育博士专业学位设置方案》规定：“教育博士专业学位教育的培养目标是造就教育、教学和教育管理领域的复合型、职业型的高级专门人才。”积极推进课程教学改革，提高课程教学质量，具体表现在明确培养目标、加强课程设置、改进教学方式、促进师</w:t>
      </w:r>
      <w:r>
        <w:rPr>
          <w:rFonts w:ascii="宋体" w:hAnsi="宋体" w:cs="宋体" w:hint="eastAsia"/>
          <w:sz w:val="30"/>
          <w:szCs w:val="30"/>
          <w:shd w:val="clear" w:color="auto" w:fill="FFFFFF"/>
        </w:rPr>
        <w:lastRenderedPageBreak/>
        <w:t>生交往等方面。</w:t>
      </w:r>
    </w:p>
    <w:p w14:paraId="76C2F65E" w14:textId="77777777" w:rsidR="008B7822" w:rsidRDefault="00000000">
      <w:pPr>
        <w:ind w:firstLineChars="200" w:firstLine="602"/>
        <w:rPr>
          <w:rFonts w:ascii="宋体" w:hAnsi="宋体" w:cs="宋体"/>
          <w:b/>
          <w:bCs/>
          <w:sz w:val="30"/>
          <w:szCs w:val="30"/>
          <w:shd w:val="clear" w:color="auto" w:fill="FFFFFF"/>
        </w:rPr>
      </w:pPr>
      <w:r>
        <w:rPr>
          <w:rFonts w:ascii="宋体" w:hAnsi="宋体" w:cs="宋体" w:hint="eastAsia"/>
          <w:b/>
          <w:bCs/>
          <w:sz w:val="30"/>
          <w:szCs w:val="30"/>
          <w:shd w:val="clear" w:color="auto" w:fill="FFFFFF"/>
        </w:rPr>
        <w:t>1</w:t>
      </w:r>
      <w:r>
        <w:rPr>
          <w:rFonts w:ascii="宋体" w:hAnsi="宋体" w:cs="宋体"/>
          <w:b/>
          <w:bCs/>
          <w:sz w:val="30"/>
          <w:szCs w:val="30"/>
          <w:shd w:val="clear" w:color="auto" w:fill="FFFFFF"/>
        </w:rPr>
        <w:t>.</w:t>
      </w:r>
      <w:r>
        <w:rPr>
          <w:rFonts w:ascii="宋体" w:hAnsi="宋体" w:cs="宋体" w:hint="eastAsia"/>
          <w:b/>
          <w:bCs/>
          <w:sz w:val="30"/>
          <w:szCs w:val="30"/>
          <w:shd w:val="clear" w:color="auto" w:fill="FFFFFF"/>
        </w:rPr>
        <w:t>明确定位培养目标，加强培养方向引领</w:t>
      </w:r>
    </w:p>
    <w:p w14:paraId="30726717" w14:textId="77777777" w:rsidR="008B7822" w:rsidRDefault="00000000">
      <w:pPr>
        <w:widowControl/>
        <w:ind w:firstLineChars="200" w:firstLine="600"/>
        <w:jc w:val="left"/>
        <w:rPr>
          <w:rFonts w:ascii="宋体" w:hAnsi="宋体" w:cs="宋体"/>
          <w:sz w:val="30"/>
          <w:szCs w:val="30"/>
          <w:shd w:val="clear" w:color="auto" w:fill="FFFFFF"/>
        </w:rPr>
      </w:pPr>
      <w:r>
        <w:rPr>
          <w:rFonts w:ascii="宋体" w:hAnsi="宋体" w:cs="宋体" w:hint="eastAsia"/>
          <w:sz w:val="30"/>
          <w:szCs w:val="30"/>
          <w:shd w:val="clear" w:color="auto" w:fill="FFFFFF"/>
        </w:rPr>
        <w:t>学院教育博士培养目标明确，即专业博士应全面突出实践的创造性发展，严格遵照国务院文件中对教育博士的实践性专业要求。学院在教育博士招生和培养的三个专业中，教育博士的培养目标是“培养适应基础教育的实践性与研究性兼备的复合型、职业型的学校课程与教学领域高级专门人才”，培养教育实践领域高层次专门人才已成为学院教育博士培养的基本话语表达方式。</w:t>
      </w:r>
    </w:p>
    <w:p w14:paraId="2FE9A969" w14:textId="77777777" w:rsidR="008B7822" w:rsidRDefault="00000000">
      <w:pPr>
        <w:ind w:firstLineChars="200" w:firstLine="602"/>
        <w:rPr>
          <w:rFonts w:ascii="宋体" w:hAnsi="宋体" w:cs="宋体"/>
          <w:b/>
          <w:bCs/>
          <w:sz w:val="30"/>
          <w:szCs w:val="30"/>
          <w:shd w:val="clear" w:color="auto" w:fill="FFFFFF"/>
        </w:rPr>
      </w:pPr>
      <w:r>
        <w:rPr>
          <w:rFonts w:ascii="宋体" w:hAnsi="宋体" w:cs="宋体" w:hint="eastAsia"/>
          <w:b/>
          <w:bCs/>
          <w:sz w:val="30"/>
          <w:szCs w:val="30"/>
          <w:shd w:val="clear" w:color="auto" w:fill="FFFFFF"/>
        </w:rPr>
        <w:t>2</w:t>
      </w:r>
      <w:r>
        <w:rPr>
          <w:rFonts w:ascii="宋体" w:hAnsi="宋体" w:cs="宋体"/>
          <w:b/>
          <w:bCs/>
          <w:sz w:val="30"/>
          <w:szCs w:val="30"/>
          <w:shd w:val="clear" w:color="auto" w:fill="FFFFFF"/>
        </w:rPr>
        <w:t>.</w:t>
      </w:r>
      <w:r>
        <w:rPr>
          <w:rFonts w:ascii="宋体" w:hAnsi="宋体" w:cs="宋体" w:hint="eastAsia"/>
          <w:b/>
          <w:bCs/>
          <w:sz w:val="30"/>
          <w:szCs w:val="30"/>
          <w:shd w:val="clear" w:color="auto" w:fill="FFFFFF"/>
        </w:rPr>
        <w:t>精准优化课程设置，合理构建学科体系</w:t>
      </w:r>
    </w:p>
    <w:p w14:paraId="3214E2A2" w14:textId="77777777" w:rsidR="008B7822" w:rsidRDefault="00000000">
      <w:pPr>
        <w:widowControl/>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教育博士课程建设经过多轮专家研讨最终形成具有系统性、前瞻性、全面性、时效性、实用性、可持续性的专业化课程。2019年主要招收了教育领导与管理和学校课程与教学两个方向的学生，学院分别基于各特定研究方向的个殊性指向来设置课程和匹配学分。其一，教育领导与管理方向的课程总量不少于20学分，</w:t>
      </w:r>
    </w:p>
    <w:p w14:paraId="6647313F" w14:textId="77777777" w:rsidR="008B7822" w:rsidRDefault="00000000">
      <w:pPr>
        <w:widowControl/>
        <w:rPr>
          <w:rFonts w:ascii="宋体" w:hAnsi="宋体" w:cs="宋体"/>
          <w:sz w:val="30"/>
          <w:szCs w:val="30"/>
          <w:shd w:val="clear" w:color="auto" w:fill="FFFFFF"/>
        </w:rPr>
      </w:pPr>
      <w:r>
        <w:rPr>
          <w:rFonts w:ascii="宋体" w:hAnsi="宋体" w:cs="宋体" w:hint="eastAsia"/>
          <w:sz w:val="30"/>
          <w:szCs w:val="30"/>
          <w:shd w:val="clear" w:color="auto" w:fill="FFFFFF"/>
        </w:rPr>
        <w:t>课程结构体现综合性、宽⼴性、专业性和实⽤性，专业课实⾏模块化课程学习，分教育理论课和研究⽅法课和教育实践研究三个模块，以充分培养学⽣的问题意识、研究⽅法和学科视野。专业课模块由专业理论、研究⽅法和专业实务三个部分组成，拓展课模块由跨学科、交叉性、前沿性讲座和研究性学习以及教育调查组成。其二，学校课程与教学方向的课程总量不少于22学分，所开设课程包括公共课模块、教育理论模块、教育研究方法模块、教育实践研究模块。港澳台侨博士研究生及国际博士研究生培养</w:t>
      </w:r>
      <w:r>
        <w:rPr>
          <w:rFonts w:ascii="宋体" w:hAnsi="宋体" w:cs="宋体" w:hint="eastAsia"/>
          <w:sz w:val="30"/>
          <w:szCs w:val="30"/>
          <w:shd w:val="clear" w:color="auto" w:fill="FFFFFF"/>
        </w:rPr>
        <w:lastRenderedPageBreak/>
        <w:t>管理其他要求由研究生院另行规定。就课程最终评价得分情况来看，学生出勤率为100%，常思亮教授的《教育管理理论专题研究》、刘要武教授的《课程与教学名著选读》和辛继湘教授的《课程与教学论专题》的课程评分均在95分以上，得到一致好评，教学效果良好，取得了丰硕成果。</w:t>
      </w:r>
    </w:p>
    <w:p w14:paraId="54393A44" w14:textId="77777777" w:rsidR="008B7822" w:rsidRDefault="00000000">
      <w:pPr>
        <w:ind w:firstLineChars="200" w:firstLine="602"/>
        <w:rPr>
          <w:rFonts w:ascii="宋体" w:hAnsi="宋体" w:cs="宋体"/>
          <w:b/>
          <w:bCs/>
          <w:sz w:val="30"/>
          <w:szCs w:val="30"/>
          <w:shd w:val="clear" w:color="auto" w:fill="FFFFFF"/>
        </w:rPr>
      </w:pPr>
      <w:r>
        <w:rPr>
          <w:rFonts w:ascii="宋体" w:hAnsi="宋体" w:cs="宋体" w:hint="eastAsia"/>
          <w:b/>
          <w:bCs/>
          <w:sz w:val="30"/>
          <w:szCs w:val="30"/>
          <w:shd w:val="clear" w:color="auto" w:fill="FFFFFF"/>
        </w:rPr>
        <w:t>3</w:t>
      </w:r>
      <w:r>
        <w:rPr>
          <w:rFonts w:ascii="宋体" w:hAnsi="宋体" w:cs="宋体"/>
          <w:b/>
          <w:bCs/>
          <w:sz w:val="30"/>
          <w:szCs w:val="30"/>
          <w:shd w:val="clear" w:color="auto" w:fill="FFFFFF"/>
        </w:rPr>
        <w:t>.</w:t>
      </w:r>
      <w:r>
        <w:rPr>
          <w:rFonts w:ascii="宋体" w:hAnsi="宋体" w:cs="宋体" w:hint="eastAsia"/>
          <w:b/>
          <w:bCs/>
          <w:sz w:val="30"/>
          <w:szCs w:val="30"/>
          <w:shd w:val="clear" w:color="auto" w:fill="FFFFFF"/>
        </w:rPr>
        <w:t>灵活创新教学方式，多维优化教学效果</w:t>
      </w:r>
    </w:p>
    <w:p w14:paraId="327D30A0" w14:textId="77777777" w:rsidR="008B7822" w:rsidRDefault="00000000">
      <w:pPr>
        <w:spacing w:line="360" w:lineRule="auto"/>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为全面确保教学活动的效率最大化，学生学习效果的最优化，学院大力推进教风学风建设，以此确保人才培养长效机制的长远运行。疫情前的教学在有效的制度建设和常规化的督导检查中取得了卓有成效的效果，学生积极性高，教师教学热情高涨，教学效果极佳，取得了良好的教育反响。2019年12月开始，受疫情影响，全面推行“停课不停学”，建立紧急预案，并做好教师和学生双重的心理建设，全面实行线上教学活动，保持100%的开课率，位居全校前列，教育博士日常教学活动也有序进行。调查发现，在教学方式选择上，发现线上教学方式与教育博士的日常学习方式能更大程度的实现契合，能在更大程度上激发学生学习的积极性。</w:t>
      </w:r>
    </w:p>
    <w:p w14:paraId="07BF2F83" w14:textId="77777777" w:rsidR="008B7822" w:rsidRDefault="00000000">
      <w:pPr>
        <w:spacing w:line="360" w:lineRule="auto"/>
        <w:ind w:firstLineChars="200" w:firstLine="602"/>
        <w:rPr>
          <w:rFonts w:ascii="宋体" w:hAnsi="宋体" w:cs="宋体"/>
          <w:b/>
          <w:bCs/>
          <w:sz w:val="30"/>
          <w:szCs w:val="30"/>
          <w:shd w:val="clear" w:color="auto" w:fill="FFFFFF"/>
        </w:rPr>
      </w:pPr>
      <w:r>
        <w:rPr>
          <w:rFonts w:ascii="宋体" w:hAnsi="宋体" w:cs="宋体" w:hint="eastAsia"/>
          <w:b/>
          <w:bCs/>
          <w:sz w:val="30"/>
          <w:szCs w:val="30"/>
          <w:shd w:val="clear" w:color="auto" w:fill="FFFFFF"/>
        </w:rPr>
        <w:t>4</w:t>
      </w:r>
      <w:r>
        <w:rPr>
          <w:rFonts w:ascii="宋体" w:hAnsi="宋体" w:cs="宋体"/>
          <w:b/>
          <w:bCs/>
          <w:sz w:val="30"/>
          <w:szCs w:val="30"/>
          <w:shd w:val="clear" w:color="auto" w:fill="FFFFFF"/>
        </w:rPr>
        <w:t>.</w:t>
      </w:r>
      <w:r>
        <w:rPr>
          <w:rFonts w:ascii="宋体" w:hAnsi="宋体" w:cs="宋体" w:hint="eastAsia"/>
          <w:b/>
          <w:bCs/>
          <w:sz w:val="30"/>
          <w:szCs w:val="30"/>
          <w:shd w:val="clear" w:color="auto" w:fill="FFFFFF"/>
        </w:rPr>
        <w:t>全面促进师生交流，有效增强教学相长</w:t>
      </w:r>
    </w:p>
    <w:p w14:paraId="4C8E6FB5" w14:textId="77777777" w:rsidR="008B7822" w:rsidRDefault="00000000">
      <w:pPr>
        <w:spacing w:line="360" w:lineRule="auto"/>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为全面促进师生交流互动，以实现教学相长，学院在培养研究生方面，全面坚守“师门研讨会”这一优良传统，即同一导师下的硕士、博士、博士后定期研讨，有阶段性的总结汇报，及时跟进研究进度和了解学生诉求。根据对教育博士的调查问卷，教</w:t>
      </w:r>
      <w:r>
        <w:rPr>
          <w:rFonts w:ascii="宋体" w:hAnsi="宋体" w:cs="宋体" w:hint="eastAsia"/>
          <w:sz w:val="30"/>
          <w:szCs w:val="30"/>
          <w:shd w:val="clear" w:color="auto" w:fill="FFFFFF"/>
        </w:rPr>
        <w:lastRenderedPageBreak/>
        <w:t>育博士参与师门研讨会的整体满意度接近90%，其中认为师门研讨会能有效改善人际关系接近80%、提升理论水平接近90%、激发学习动机同样接近90%。由此可见，开展师门研讨会，能有效激发学生的学习动机，能最大程度确保学生能在教师的有效指导下实现专业成长，能最大程度促进教学相长。</w:t>
      </w:r>
    </w:p>
    <w:p w14:paraId="0F6058A9" w14:textId="77777777" w:rsidR="008B7822" w:rsidRDefault="00000000">
      <w:pPr>
        <w:numPr>
          <w:ilvl w:val="0"/>
          <w:numId w:val="4"/>
        </w:numPr>
        <w:ind w:firstLine="640"/>
        <w:rPr>
          <w:rFonts w:ascii="楷体_GB2312" w:eastAsia="楷体_GB2312"/>
          <w:b/>
          <w:bCs/>
          <w:sz w:val="32"/>
          <w:szCs w:val="32"/>
        </w:rPr>
      </w:pPr>
      <w:r>
        <w:rPr>
          <w:rFonts w:ascii="楷体_GB2312" w:eastAsia="楷体_GB2312" w:hint="eastAsia"/>
          <w:b/>
          <w:bCs/>
          <w:sz w:val="32"/>
          <w:szCs w:val="32"/>
        </w:rPr>
        <w:t>持续激发教育创新能力，严守“出口关”</w:t>
      </w:r>
    </w:p>
    <w:p w14:paraId="7E360011" w14:textId="77777777" w:rsidR="008B7822" w:rsidRDefault="00000000">
      <w:pPr>
        <w:spacing w:line="360" w:lineRule="auto"/>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为全面实施研究生教育创新计划，加强研究生创新能力培养，学院始终将科学创新作为推进学院发展的根本动力，注重创新型人才的培育。2019年，为持续提高学院科学创新能力，学院在科研平台建设、研究生导师队伍建设和创新氛围营造等方面采取了多项措施，并取得丰硕成果：2019年共新增国家级项目7项，部级项目3项，省级项目7项，厅局级项目8项，其他项目14项。共获批项目经费199万元。权威刊物4篇，重要刊物论文12篇，SSCI收录论文5篇，CSSCI来源刊物25篇；省级奖项6项，校级奖项1项。在学生成果方面，陈瑶同学所撰写的《卓越教师的教育信念及其影响因素——基于美国“国家年度教师”的研究》在湖南师范大学教育科学学院第三届学术论坛论文评比中荣获二等奖；胡碧瑜等同学主持的《“扎根湖湘大地，弘扬传统艺术”大学美育实践模式的探索》获高等教育省级教学成果奖二等奖的荣誉。陈瑶同学发表在《内蒙古师范大学学报（教育科学版）》上发表论文《高中通用技术教师专业发展孤立感体验研究》；左鹏等在《湖南第一学院学报》上发表论文《小学英语阅</w:t>
      </w:r>
      <w:r>
        <w:rPr>
          <w:rFonts w:ascii="宋体" w:hAnsi="宋体" w:cs="宋体" w:hint="eastAsia"/>
          <w:sz w:val="30"/>
          <w:szCs w:val="30"/>
          <w:shd w:val="clear" w:color="auto" w:fill="FFFFFF"/>
        </w:rPr>
        <w:lastRenderedPageBreak/>
        <w:t>读理解教学新策略探析——基于《中国英语能力等级量表》标准》；吴虎强在《湖南第一学院学报》上发表论文《当前民办教育培训机构教育性缺失的成因及对策》；张隐云等在《出版广角》上发表论文《我国教科书研究的回顾与展望》。</w:t>
      </w:r>
    </w:p>
    <w:p w14:paraId="78AD809C" w14:textId="77777777" w:rsidR="008B7822" w:rsidRDefault="00000000">
      <w:pPr>
        <w:numPr>
          <w:ilvl w:val="0"/>
          <w:numId w:val="4"/>
        </w:numPr>
        <w:ind w:firstLine="640"/>
        <w:rPr>
          <w:rFonts w:ascii="楷体_GB2312" w:eastAsia="楷体_GB2312"/>
          <w:b/>
          <w:bCs/>
          <w:sz w:val="32"/>
          <w:szCs w:val="32"/>
        </w:rPr>
      </w:pPr>
      <w:r>
        <w:rPr>
          <w:rFonts w:ascii="楷体_GB2312" w:eastAsia="楷体_GB2312" w:hint="eastAsia"/>
          <w:b/>
          <w:bCs/>
          <w:sz w:val="32"/>
          <w:szCs w:val="32"/>
        </w:rPr>
        <w:t>着力构建质量保障体系，严控“质量关”</w:t>
      </w:r>
    </w:p>
    <w:p w14:paraId="332BEB5E" w14:textId="77777777" w:rsidR="008B7822" w:rsidRDefault="00000000">
      <w:pPr>
        <w:spacing w:line="360" w:lineRule="auto"/>
        <w:ind w:firstLineChars="200" w:firstLine="600"/>
        <w:rPr>
          <w:rFonts w:ascii="楷体_GB2312" w:eastAsia="楷体_GB2312"/>
          <w:sz w:val="32"/>
          <w:szCs w:val="32"/>
        </w:rPr>
      </w:pPr>
      <w:r>
        <w:rPr>
          <w:rFonts w:ascii="宋体" w:hAnsi="宋体" w:cs="宋体" w:hint="eastAsia"/>
          <w:sz w:val="30"/>
          <w:szCs w:val="30"/>
          <w:shd w:val="clear" w:color="auto" w:fill="FFFFFF"/>
        </w:rPr>
        <w:t>高等教育是教育强国建设的龙头，持续推进我国高等教育高质量发展，实现从教育大国到教育强国的跃升和质变，是一个系统性、整体性、协同性工程。学院秉承高质量发展的旨归，强化教育博士培养过程，完善督导制度，构建质量保障体系。其一，全面落实培养方案与课程教学计划，持续跟进、调整、完善督导制度建设。根据人才培养目标和学科发展动态，精心设计培养方案，不断优化课程体系，每年修订完善培养方案，定期开展课程与教学质量调查，及时了解学生反映和诉求。学校和学部都成立有教学督导委员会，通过随机听课，旁听学位论文答辩、和教师学生座谈等方式，建立研究生培养过程的监督保障机制。其二，在培养方式上教育博士专业学位研究生在课程学习阶段实行集体培养，在论文选题和写作阶段实行导师负责制，导师小组集体指导，形成分阶段、有计划、条目式的协调发展模式。其三，在培养环节上涵盖了课程学习、中期考核、开题报告、论文写作和论文答辩等环节，中期考核和开题不合格的研究生，需半年后重新参加考核和开题，考核合格、开题通过后，方可进行学位论文的相关研究与写作。通过这些措施，有效保证了培养质量难易程</w:t>
      </w:r>
      <w:r>
        <w:rPr>
          <w:rFonts w:ascii="宋体" w:hAnsi="宋体" w:cs="宋体" w:hint="eastAsia"/>
          <w:sz w:val="30"/>
          <w:szCs w:val="30"/>
          <w:shd w:val="clear" w:color="auto" w:fill="FFFFFF"/>
        </w:rPr>
        <w:lastRenderedPageBreak/>
        <w:t>度有效补充，阶段安排合理有效，遵循学生发展的一般性与差异性特征。其四，论文环节实施学位论文双盲评审，以提高学位论文质量，所有博士论文申请答辩前都需参加教育部学位中心组织的盲评，盲评通过的，方能参加答辩。对未能如期完成学业和研究任务的学生，按延期毕业和答辩、退学等方式处理。其五，在学习年限上教育博士专业学位研究生的培养采用学分制和弹性学制，学制为四年，其中全日制在校学习和研究时间累计不少于一年。</w:t>
      </w:r>
    </w:p>
    <w:p w14:paraId="36F13104" w14:textId="77777777" w:rsidR="008B7822" w:rsidRDefault="00000000">
      <w:pPr>
        <w:rPr>
          <w:rFonts w:ascii="楷体_GB2312" w:eastAsia="楷体_GB2312"/>
          <w:sz w:val="32"/>
          <w:szCs w:val="32"/>
        </w:rPr>
      </w:pPr>
      <w:r>
        <w:rPr>
          <w:rFonts w:ascii="黑体" w:eastAsia="黑体" w:hAnsi="黑体" w:hint="eastAsia"/>
          <w:sz w:val="32"/>
          <w:szCs w:val="32"/>
        </w:rPr>
        <w:t xml:space="preserve">    </w:t>
      </w:r>
      <w:r>
        <w:rPr>
          <w:rFonts w:ascii="黑体" w:eastAsia="黑体" w:hAnsi="黑体"/>
          <w:sz w:val="32"/>
          <w:szCs w:val="32"/>
        </w:rPr>
        <w:t>四</w:t>
      </w:r>
      <w:r>
        <w:rPr>
          <w:rFonts w:ascii="黑体" w:eastAsia="黑体" w:hAnsi="黑体" w:hint="eastAsia"/>
          <w:sz w:val="32"/>
          <w:szCs w:val="32"/>
        </w:rPr>
        <w:t>、</w:t>
      </w:r>
      <w:r>
        <w:rPr>
          <w:rFonts w:ascii="黑体" w:eastAsia="黑体" w:hAnsi="黑体"/>
          <w:sz w:val="32"/>
          <w:szCs w:val="32"/>
        </w:rPr>
        <w:t>学位授权点社会服务情况</w:t>
      </w:r>
    </w:p>
    <w:p w14:paraId="5DF24550" w14:textId="77777777" w:rsidR="008B7822" w:rsidRDefault="00000000">
      <w:pPr>
        <w:spacing w:line="360" w:lineRule="auto"/>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党的十九大报告关于以人民为中心和办好人民满意教育的论述，为新时代的中国教育指出了新的发展道路，由此，我国的教育事业的改革发展必须紧紧依靠人民，将以人民为中心作为办好中国教育的力量源泉、前进动力和评价标准。教育是与人的发展、人民群众的发展关联最为紧密的事业。人民是教育的创造者、实践者、评判者，是教育事业最为重要的主体，是决定教育事业兴衰成败的核心保障和根本力量。为贯彻“以人民为中心”和“办好人民满意的教育”的发展宗旨，学科依托完整的学科体系和科研实力，积极服务国家和地方经济社会发展，形成立足湖湘、面向全国、走向世界的优良名片，在科研成果转化，助推基础教育高质量发展，服务社会发展，繁荣社会文化等方面成效显著。</w:t>
      </w:r>
    </w:p>
    <w:p w14:paraId="3259E641" w14:textId="77777777" w:rsidR="008B7822" w:rsidRDefault="00000000">
      <w:pPr>
        <w:numPr>
          <w:ilvl w:val="0"/>
          <w:numId w:val="5"/>
        </w:numPr>
        <w:ind w:firstLineChars="200" w:firstLine="643"/>
        <w:rPr>
          <w:rFonts w:ascii="楷体_GB2312" w:eastAsia="楷体_GB2312"/>
          <w:b/>
          <w:bCs/>
          <w:sz w:val="32"/>
          <w:szCs w:val="32"/>
        </w:rPr>
      </w:pPr>
      <w:r>
        <w:rPr>
          <w:rFonts w:ascii="楷体_GB2312" w:eastAsia="楷体_GB2312" w:hint="eastAsia"/>
          <w:b/>
          <w:bCs/>
          <w:sz w:val="32"/>
          <w:szCs w:val="32"/>
        </w:rPr>
        <w:t>坚持科研成果转化利用，助推基础教育高质量发展</w:t>
      </w:r>
    </w:p>
    <w:p w14:paraId="3DE31D6F" w14:textId="77777777" w:rsidR="008B7822" w:rsidRDefault="00000000">
      <w:pPr>
        <w:spacing w:line="360" w:lineRule="auto"/>
        <w:ind w:firstLineChars="200" w:firstLine="600"/>
        <w:rPr>
          <w:rFonts w:ascii="楷体_GB2312" w:eastAsia="楷体_GB2312"/>
          <w:sz w:val="32"/>
          <w:szCs w:val="32"/>
        </w:rPr>
      </w:pPr>
      <w:r>
        <w:rPr>
          <w:rFonts w:ascii="宋体" w:hAnsi="宋体" w:cs="宋体" w:hint="eastAsia"/>
          <w:sz w:val="30"/>
          <w:szCs w:val="30"/>
          <w:shd w:val="clear" w:color="auto" w:fill="FFFFFF"/>
        </w:rPr>
        <w:lastRenderedPageBreak/>
        <w:t>在科研成果转化和服务社会方面，学院通过培养高质量、高素质的教师人才队伍，积极实现科研成果转化，助推基础教育高质量发展。学院与湖南及周边省市基础教育领域、教育职能部门、产业界展开深入的合作，建有 40 多个中小学、中职学校实践教学基地，定期开展“国培计划”“中小学卓越教师计划”“未来教育家培养”等项目；依托教育部基础教育课程研究湖南师范大学中心、湖南省“教学改革研究”基地及教师教育精品课程。同时，学院活跃于基础教育教学改革和课程规划的前沿，参与规划教材编写、湖南省学位与研究生教育“十四五”发展规划、湖南省学位研究生教育质量报告等政策咨询服务。此外，还拥有“全国重点建设职教师资培养培训基地”“国家体育与艺术师资培养基地”等多个国家级教师教育平台。</w:t>
      </w:r>
    </w:p>
    <w:p w14:paraId="4CED12A6" w14:textId="77777777" w:rsidR="008B7822" w:rsidRDefault="00000000">
      <w:pPr>
        <w:ind w:firstLineChars="200" w:firstLine="643"/>
        <w:rPr>
          <w:rFonts w:ascii="楷体_GB2312" w:eastAsia="楷体_GB2312"/>
          <w:b/>
          <w:bCs/>
          <w:sz w:val="32"/>
          <w:szCs w:val="32"/>
        </w:rPr>
      </w:pPr>
      <w:r>
        <w:rPr>
          <w:rFonts w:ascii="楷体_GB2312" w:eastAsia="楷体_GB2312" w:hint="eastAsia"/>
          <w:b/>
          <w:bCs/>
          <w:sz w:val="32"/>
          <w:szCs w:val="32"/>
        </w:rPr>
        <w:t>（二）积极服务社会发展，有效繁荣社会文化</w:t>
      </w:r>
    </w:p>
    <w:p w14:paraId="3DF156A7" w14:textId="77777777" w:rsidR="008B7822" w:rsidRDefault="00000000">
      <w:pPr>
        <w:spacing w:line="360" w:lineRule="auto"/>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学院设置教育博士专业学位，主要服务湖南基础教育、职业教育，建成具有湖湘特色、彰显教育博士培养要求的特色课程，能积极引领和促进基础教育、职业教育改革与发展的专业学位点；培养人文素养与科学精神相统一，具有较高教育理论素养和专业情怀，能运用科学方法、创造性地研究和解决实际教育问题的复合型、职业型高层次专门人才，进一步发挥学院教育学科的引领作用。繁荣社会文化、实现文化创新是高等教育的特殊功能之一。学院教师大都是教育各领域的专家学者、研究人员，肩负教学和科研双重任务，既是文化传播者，又是文化创新者。</w:t>
      </w:r>
    </w:p>
    <w:p w14:paraId="6E96112B" w14:textId="77777777" w:rsidR="008B7822" w:rsidRDefault="00000000">
      <w:pPr>
        <w:ind w:firstLineChars="200" w:firstLine="640"/>
        <w:rPr>
          <w:rFonts w:ascii="楷体_GB2312" w:eastAsia="楷体_GB2312"/>
          <w:sz w:val="32"/>
          <w:szCs w:val="32"/>
        </w:rPr>
      </w:pPr>
      <w:r>
        <w:rPr>
          <w:rFonts w:ascii="黑体" w:eastAsia="黑体" w:hAnsi="黑体"/>
          <w:sz w:val="32"/>
          <w:szCs w:val="32"/>
        </w:rPr>
        <w:lastRenderedPageBreak/>
        <w:t>五</w:t>
      </w:r>
      <w:r>
        <w:rPr>
          <w:rFonts w:ascii="黑体" w:eastAsia="黑体" w:hAnsi="黑体" w:hint="eastAsia"/>
          <w:sz w:val="32"/>
          <w:szCs w:val="32"/>
        </w:rPr>
        <w:t>、</w:t>
      </w:r>
      <w:r>
        <w:rPr>
          <w:rFonts w:ascii="黑体" w:eastAsia="黑体" w:hAnsi="黑体"/>
          <w:sz w:val="32"/>
          <w:szCs w:val="32"/>
        </w:rPr>
        <w:t>存在的问题与改进措施</w:t>
      </w:r>
    </w:p>
    <w:p w14:paraId="0E1D89EC" w14:textId="26AE1E67" w:rsidR="008B7822" w:rsidRDefault="00000000">
      <w:pPr>
        <w:spacing w:line="360" w:lineRule="auto"/>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2019年，学院继续坚持立德树人和现代化人才培养中心地位，总结分析教育博士培养过程中存在的不足与挑战，通过实践改革与理论探索找寻一条高质量人才培养体系的新出路。</w:t>
      </w:r>
    </w:p>
    <w:p w14:paraId="1E40DA69" w14:textId="77777777" w:rsidR="008B7822" w:rsidRDefault="00000000">
      <w:pPr>
        <w:ind w:firstLineChars="200" w:firstLine="643"/>
        <w:rPr>
          <w:rFonts w:ascii="楷体_GB2312" w:eastAsia="楷体_GB2312"/>
          <w:b/>
          <w:bCs/>
          <w:sz w:val="32"/>
          <w:szCs w:val="32"/>
        </w:rPr>
      </w:pPr>
      <w:r>
        <w:rPr>
          <w:rFonts w:ascii="楷体_GB2312" w:eastAsia="楷体_GB2312" w:hint="eastAsia"/>
          <w:b/>
          <w:bCs/>
          <w:sz w:val="32"/>
          <w:szCs w:val="32"/>
        </w:rPr>
        <w:t>（一）结合外引内培，持续加强师资队伍建设</w:t>
      </w:r>
    </w:p>
    <w:p w14:paraId="3907A00C" w14:textId="77777777" w:rsidR="008B7822" w:rsidRDefault="00000000">
      <w:pPr>
        <w:spacing w:line="360" w:lineRule="auto"/>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针对学科梯队年龄结构有待优化、学科骨干人才不足等问题，本学科点广纳贤才，年轻教师逐步成长起来，充实了导师组力量，优化了年龄结构，未来仍有待持续引进和培育，借助学校学院的发展平台，继续加强对中青年教师的梯队培养，不断为教育博士的培养提供强大助力。引进高层次人才，充实导师队伍。不断加大引才力度，通过柔性与全职并重、引进与培育并重的方式，为导师队伍不断引入新鲜血液。</w:t>
      </w:r>
    </w:p>
    <w:p w14:paraId="7493C526" w14:textId="77777777" w:rsidR="008B7822" w:rsidRDefault="00000000">
      <w:pPr>
        <w:ind w:firstLineChars="200" w:firstLine="643"/>
        <w:rPr>
          <w:rFonts w:ascii="楷体_GB2312" w:eastAsia="楷体_GB2312"/>
          <w:b/>
          <w:bCs/>
          <w:sz w:val="32"/>
          <w:szCs w:val="32"/>
        </w:rPr>
      </w:pPr>
      <w:r>
        <w:rPr>
          <w:rFonts w:ascii="楷体_GB2312" w:eastAsia="楷体_GB2312" w:hint="eastAsia"/>
          <w:b/>
          <w:bCs/>
          <w:sz w:val="32"/>
          <w:szCs w:val="32"/>
        </w:rPr>
        <w:t>（二）拓宽招生宣传方式，广泛提升生源质量</w:t>
      </w:r>
    </w:p>
    <w:p w14:paraId="63FF2602" w14:textId="77777777" w:rsidR="008B7822" w:rsidRDefault="00000000">
      <w:pPr>
        <w:spacing w:line="360" w:lineRule="auto"/>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多途径、多视角吸引更多优秀生源，学院需持续增强专项资金投入，持续完善研究生招生宣传工作小组的人员配备及制度建设，不断更新宣传方式，努力加大招生宣传。严把入学关，学院应根据学科及学位点建设要求，合理设置研究方向，严格教育博士研究生招生各环节。落实并加强教育博士研究生生培养机制的宣传实效，对教育博士的课程方案、科研成果、培养环节、毕业要求等具体项目进行具体宣传和引导，鼓励学员在充分了解学位点的教育博士培养方案后做出报考选择。</w:t>
      </w:r>
    </w:p>
    <w:p w14:paraId="4E620772" w14:textId="77777777" w:rsidR="008B7822" w:rsidRDefault="00000000">
      <w:pPr>
        <w:ind w:firstLineChars="200" w:firstLine="643"/>
        <w:rPr>
          <w:rFonts w:ascii="楷体_GB2312" w:eastAsia="楷体_GB2312"/>
          <w:b/>
          <w:bCs/>
          <w:sz w:val="32"/>
          <w:szCs w:val="32"/>
        </w:rPr>
      </w:pPr>
      <w:r>
        <w:rPr>
          <w:rFonts w:ascii="楷体_GB2312" w:eastAsia="楷体_GB2312" w:hint="eastAsia"/>
          <w:b/>
          <w:bCs/>
          <w:sz w:val="32"/>
          <w:szCs w:val="32"/>
        </w:rPr>
        <w:t>（三）加强智库建设，增强本学位点影响力</w:t>
      </w:r>
    </w:p>
    <w:p w14:paraId="21C48FC2" w14:textId="77777777" w:rsidR="008B7822" w:rsidRDefault="00000000">
      <w:pPr>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lastRenderedPageBreak/>
        <w:t>紧扣国家和湖南省经济社会发展需求，凝练时代需要回答与解决的问题，踊跃建言献策，积极参与高端智库建设，加强智库人才培养，形成具有较大社会影响的应用类成果，积极实现成果转化，发挥“智囊团”和“信息库”的作用，积极申请成为湖南省教育厅等相关政府部门的相关专业的入库专家，增强在国家和湖南省域内经济社会发展中的参与度、话语权和贡献力，提升本学位点的社会影响力和知名度。</w:t>
      </w:r>
    </w:p>
    <w:p w14:paraId="0CCBDC2C" w14:textId="77777777" w:rsidR="008B7822" w:rsidRDefault="00000000">
      <w:pPr>
        <w:ind w:firstLineChars="200" w:firstLine="643"/>
        <w:rPr>
          <w:rFonts w:ascii="楷体_GB2312" w:eastAsia="楷体_GB2312"/>
          <w:b/>
          <w:bCs/>
          <w:sz w:val="32"/>
          <w:szCs w:val="32"/>
        </w:rPr>
      </w:pPr>
      <w:r>
        <w:rPr>
          <w:rFonts w:ascii="楷体_GB2312" w:eastAsia="楷体_GB2312" w:hint="eastAsia"/>
          <w:b/>
          <w:bCs/>
          <w:sz w:val="32"/>
          <w:szCs w:val="32"/>
        </w:rPr>
        <w:t>（四）采取分流淘汰制度，持续提升人才培养质量</w:t>
      </w:r>
    </w:p>
    <w:p w14:paraId="03CA3D89" w14:textId="77777777" w:rsidR="008B7822" w:rsidRDefault="00000000">
      <w:pPr>
        <w:ind w:firstLineChars="200" w:firstLine="600"/>
        <w:rPr>
          <w:rFonts w:ascii="宋体" w:hAnsi="宋体" w:cs="宋体"/>
          <w:sz w:val="30"/>
          <w:szCs w:val="30"/>
          <w:shd w:val="clear" w:color="auto" w:fill="FFFFFF"/>
        </w:rPr>
      </w:pPr>
      <w:r>
        <w:rPr>
          <w:rFonts w:ascii="宋体" w:hAnsi="宋体" w:cs="宋体" w:hint="eastAsia"/>
          <w:sz w:val="30"/>
          <w:szCs w:val="30"/>
          <w:shd w:val="clear" w:color="auto" w:fill="FFFFFF"/>
        </w:rPr>
        <w:t>学院应继续加强教育博士科研训练，从课程设置、授课质量、课后训练、学术讲座、导师指导等多个方面着手改进，强化研究生科研训练，切实提高培养质量。严格执行分流淘汰制度，狠抓学位论文过程审核，保障学位论文质量。学位点应进一步细分压实导师、学位论文答辩委员会、学位评定分委员会等责任，细化规范答辩流程，提高问答质量。本学位点教育博士人才培养需持提供长期、稳定的平台支持，需要设立和发展创新模式的人才培养基地，多途径增强国际交流与合作，拓宽渠道，增强与国（境）外学校的交流，持续增强合作交流的广度和深度，教育博士的创新能力和社会实践能力需要进一步增强，学院需要在创新性人才培育方向持续跟进。</w:t>
      </w:r>
    </w:p>
    <w:p w14:paraId="00A75111" w14:textId="77777777" w:rsidR="008B7822" w:rsidRDefault="008B7822">
      <w:pPr>
        <w:ind w:firstLineChars="200" w:firstLine="643"/>
        <w:rPr>
          <w:rFonts w:ascii="楷体_GB2312" w:eastAsia="楷体_GB2312"/>
          <w:b/>
          <w:bCs/>
          <w:sz w:val="32"/>
          <w:szCs w:val="32"/>
        </w:rPr>
      </w:pPr>
    </w:p>
    <w:p w14:paraId="2DDDB7AB" w14:textId="77777777" w:rsidR="008B7822" w:rsidRDefault="008B7822"/>
    <w:sectPr w:rsidR="008B782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BD8B" w14:textId="77777777" w:rsidR="006F65A2" w:rsidRDefault="006F65A2">
      <w:r>
        <w:separator/>
      </w:r>
    </w:p>
  </w:endnote>
  <w:endnote w:type="continuationSeparator" w:id="0">
    <w:p w14:paraId="2FD8E214" w14:textId="77777777" w:rsidR="006F65A2" w:rsidRDefault="006F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昆仑黑体">
    <w:altName w:val="黑体"/>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1F90" w14:textId="77777777" w:rsidR="008B7822" w:rsidRDefault="00000000">
    <w:pPr>
      <w:pStyle w:val="a3"/>
    </w:pPr>
    <w:r>
      <w:rPr>
        <w:noProof/>
      </w:rPr>
      <mc:AlternateContent>
        <mc:Choice Requires="wps">
          <w:drawing>
            <wp:anchor distT="0" distB="0" distL="114300" distR="114300" simplePos="0" relativeHeight="251660288" behindDoc="0" locked="0" layoutInCell="1" allowOverlap="1" wp14:anchorId="16A35BB4" wp14:editId="1401C41D">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CD3719" w14:textId="77777777" w:rsidR="008B7822"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6A35BB4" id="_x0000_t202" coordsize="21600,21600" o:spt="202" path="m,l,21600r21600,l21600,xe">
              <v:stroke joinstyle="miter"/>
              <v:path gradientshapeok="t" o:connecttype="rect"/>
            </v:shapetype>
            <v:shape id="文本框 6"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2CD3719" w14:textId="77777777" w:rsidR="008B7822"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73A6" w14:textId="77777777" w:rsidR="006F65A2" w:rsidRDefault="006F65A2">
      <w:r>
        <w:separator/>
      </w:r>
    </w:p>
  </w:footnote>
  <w:footnote w:type="continuationSeparator" w:id="0">
    <w:p w14:paraId="28FF6BD5" w14:textId="77777777" w:rsidR="006F65A2" w:rsidRDefault="006F6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4CF5F"/>
    <w:multiLevelType w:val="singleLevel"/>
    <w:tmpl w:val="8024CF5F"/>
    <w:lvl w:ilvl="0">
      <w:start w:val="1"/>
      <w:numFmt w:val="chineseCounting"/>
      <w:suff w:val="nothing"/>
      <w:lvlText w:val="（%1）"/>
      <w:lvlJc w:val="left"/>
      <w:rPr>
        <w:rFonts w:hint="eastAsia"/>
      </w:rPr>
    </w:lvl>
  </w:abstractNum>
  <w:abstractNum w:abstractNumId="1" w15:restartNumberingAfterBreak="0">
    <w:nsid w:val="A5D519BB"/>
    <w:multiLevelType w:val="singleLevel"/>
    <w:tmpl w:val="A5D519BB"/>
    <w:lvl w:ilvl="0">
      <w:start w:val="1"/>
      <w:numFmt w:val="chineseCounting"/>
      <w:suff w:val="nothing"/>
      <w:lvlText w:val="（%1）"/>
      <w:lvlJc w:val="left"/>
      <w:rPr>
        <w:rFonts w:hint="eastAsia"/>
      </w:rPr>
    </w:lvl>
  </w:abstractNum>
  <w:abstractNum w:abstractNumId="2" w15:restartNumberingAfterBreak="0">
    <w:nsid w:val="02E4AF48"/>
    <w:multiLevelType w:val="singleLevel"/>
    <w:tmpl w:val="02E4AF48"/>
    <w:lvl w:ilvl="0">
      <w:start w:val="1"/>
      <w:numFmt w:val="chineseCounting"/>
      <w:suff w:val="nothing"/>
      <w:lvlText w:val="（%1）"/>
      <w:lvlJc w:val="left"/>
      <w:rPr>
        <w:rFonts w:hint="eastAsia"/>
      </w:rPr>
    </w:lvl>
  </w:abstractNum>
  <w:abstractNum w:abstractNumId="3" w15:restartNumberingAfterBreak="0">
    <w:nsid w:val="2474CBF7"/>
    <w:multiLevelType w:val="singleLevel"/>
    <w:tmpl w:val="2474CBF7"/>
    <w:lvl w:ilvl="0">
      <w:start w:val="1"/>
      <w:numFmt w:val="chineseCounting"/>
      <w:suff w:val="nothing"/>
      <w:lvlText w:val="（%1）"/>
      <w:lvlJc w:val="left"/>
      <w:rPr>
        <w:rFonts w:hint="eastAsia"/>
      </w:rPr>
    </w:lvl>
  </w:abstractNum>
  <w:abstractNum w:abstractNumId="4" w15:restartNumberingAfterBreak="0">
    <w:nsid w:val="4A4878EE"/>
    <w:multiLevelType w:val="multilevel"/>
    <w:tmpl w:val="4A4878EE"/>
    <w:lvl w:ilvl="0">
      <w:start w:val="1"/>
      <w:numFmt w:val="japaneseCounting"/>
      <w:lvlText w:val="%1、"/>
      <w:lvlJc w:val="left"/>
      <w:pPr>
        <w:ind w:left="1305" w:hanging="720"/>
      </w:pPr>
      <w:rPr>
        <w:rFonts w:hint="default"/>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num w:numId="1" w16cid:durableId="159084999">
    <w:abstractNumId w:val="4"/>
  </w:num>
  <w:num w:numId="2" w16cid:durableId="1538858429">
    <w:abstractNumId w:val="1"/>
  </w:num>
  <w:num w:numId="3" w16cid:durableId="1262100978">
    <w:abstractNumId w:val="2"/>
  </w:num>
  <w:num w:numId="4" w16cid:durableId="1265454603">
    <w:abstractNumId w:val="3"/>
  </w:num>
  <w:num w:numId="5" w16cid:durableId="4399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IwODJhYjdiMjk5YWJiNmQyZDI3MDY5ODA0M2YwMDAifQ=="/>
  </w:docVars>
  <w:rsids>
    <w:rsidRoot w:val="00A84591"/>
    <w:rsid w:val="00304654"/>
    <w:rsid w:val="00372476"/>
    <w:rsid w:val="006E6D9B"/>
    <w:rsid w:val="006F65A2"/>
    <w:rsid w:val="007D64E5"/>
    <w:rsid w:val="008159CE"/>
    <w:rsid w:val="008378A4"/>
    <w:rsid w:val="00860AA4"/>
    <w:rsid w:val="008B7822"/>
    <w:rsid w:val="00925D59"/>
    <w:rsid w:val="00A03F32"/>
    <w:rsid w:val="00A84591"/>
    <w:rsid w:val="00A84B27"/>
    <w:rsid w:val="00C2776C"/>
    <w:rsid w:val="00DB4E67"/>
    <w:rsid w:val="00E232EF"/>
    <w:rsid w:val="00ED1CE6"/>
    <w:rsid w:val="01503F40"/>
    <w:rsid w:val="01EE0746"/>
    <w:rsid w:val="02030B88"/>
    <w:rsid w:val="02154BAD"/>
    <w:rsid w:val="029F58BA"/>
    <w:rsid w:val="02FB7555"/>
    <w:rsid w:val="03D975A1"/>
    <w:rsid w:val="049449DF"/>
    <w:rsid w:val="064B57C6"/>
    <w:rsid w:val="075C5D8B"/>
    <w:rsid w:val="07D41F84"/>
    <w:rsid w:val="081906E1"/>
    <w:rsid w:val="08386EEA"/>
    <w:rsid w:val="085660CB"/>
    <w:rsid w:val="08EF5526"/>
    <w:rsid w:val="08FD5A21"/>
    <w:rsid w:val="09207BBB"/>
    <w:rsid w:val="09C66EB2"/>
    <w:rsid w:val="0A0F2B7A"/>
    <w:rsid w:val="0A5055CE"/>
    <w:rsid w:val="0A9F79CC"/>
    <w:rsid w:val="0AB07C94"/>
    <w:rsid w:val="0AFE5251"/>
    <w:rsid w:val="0BE07067"/>
    <w:rsid w:val="0C2F0F09"/>
    <w:rsid w:val="0C4F41C6"/>
    <w:rsid w:val="0D596CD6"/>
    <w:rsid w:val="0D665D32"/>
    <w:rsid w:val="0EFD5B55"/>
    <w:rsid w:val="0F631AC3"/>
    <w:rsid w:val="107C3512"/>
    <w:rsid w:val="11F908F7"/>
    <w:rsid w:val="12135409"/>
    <w:rsid w:val="125065E4"/>
    <w:rsid w:val="13336C42"/>
    <w:rsid w:val="13557D2A"/>
    <w:rsid w:val="15005669"/>
    <w:rsid w:val="15613E6A"/>
    <w:rsid w:val="1661242C"/>
    <w:rsid w:val="16B3162D"/>
    <w:rsid w:val="16EC6AA0"/>
    <w:rsid w:val="17140277"/>
    <w:rsid w:val="172D208F"/>
    <w:rsid w:val="17782990"/>
    <w:rsid w:val="18075C2B"/>
    <w:rsid w:val="180908BE"/>
    <w:rsid w:val="18C75B50"/>
    <w:rsid w:val="190754C0"/>
    <w:rsid w:val="193B04DB"/>
    <w:rsid w:val="194E3222"/>
    <w:rsid w:val="19A50B4C"/>
    <w:rsid w:val="19CB0804"/>
    <w:rsid w:val="19F23523"/>
    <w:rsid w:val="1A8114A4"/>
    <w:rsid w:val="1B246CB4"/>
    <w:rsid w:val="1B5A22CF"/>
    <w:rsid w:val="1B82617B"/>
    <w:rsid w:val="1BB5409D"/>
    <w:rsid w:val="1BE53007"/>
    <w:rsid w:val="1C5F005A"/>
    <w:rsid w:val="1D1C461C"/>
    <w:rsid w:val="1E0E0C12"/>
    <w:rsid w:val="1E16747A"/>
    <w:rsid w:val="1E7B4187"/>
    <w:rsid w:val="1F1141D6"/>
    <w:rsid w:val="1F6972AC"/>
    <w:rsid w:val="2064426E"/>
    <w:rsid w:val="2144026C"/>
    <w:rsid w:val="21696C2D"/>
    <w:rsid w:val="21C305E3"/>
    <w:rsid w:val="222B4780"/>
    <w:rsid w:val="22950E92"/>
    <w:rsid w:val="22964C50"/>
    <w:rsid w:val="22C972EA"/>
    <w:rsid w:val="22D3095D"/>
    <w:rsid w:val="234C2DE8"/>
    <w:rsid w:val="24792DF7"/>
    <w:rsid w:val="24BB4C9A"/>
    <w:rsid w:val="25AD31B4"/>
    <w:rsid w:val="2624702A"/>
    <w:rsid w:val="265D2A2B"/>
    <w:rsid w:val="26887348"/>
    <w:rsid w:val="271B191F"/>
    <w:rsid w:val="277870D3"/>
    <w:rsid w:val="2792400E"/>
    <w:rsid w:val="27CB411F"/>
    <w:rsid w:val="27DC3362"/>
    <w:rsid w:val="27F655BA"/>
    <w:rsid w:val="28733064"/>
    <w:rsid w:val="28D675DA"/>
    <w:rsid w:val="297432A6"/>
    <w:rsid w:val="29947735"/>
    <w:rsid w:val="29CC6CAF"/>
    <w:rsid w:val="2AD3673C"/>
    <w:rsid w:val="2B0E4711"/>
    <w:rsid w:val="2C1769B0"/>
    <w:rsid w:val="2C3C5635"/>
    <w:rsid w:val="2C70411A"/>
    <w:rsid w:val="2D1D05FA"/>
    <w:rsid w:val="2D4E2CE2"/>
    <w:rsid w:val="2D754148"/>
    <w:rsid w:val="2D8947C4"/>
    <w:rsid w:val="2DDC690F"/>
    <w:rsid w:val="2E0472D1"/>
    <w:rsid w:val="2E304441"/>
    <w:rsid w:val="2E3D5ECA"/>
    <w:rsid w:val="2F296293"/>
    <w:rsid w:val="2F3B7FAA"/>
    <w:rsid w:val="2F726A41"/>
    <w:rsid w:val="2FEA7439"/>
    <w:rsid w:val="30621CD8"/>
    <w:rsid w:val="308120CB"/>
    <w:rsid w:val="30AD5A33"/>
    <w:rsid w:val="316C5FB0"/>
    <w:rsid w:val="31C42810"/>
    <w:rsid w:val="322501C3"/>
    <w:rsid w:val="32605606"/>
    <w:rsid w:val="32695203"/>
    <w:rsid w:val="32F111D1"/>
    <w:rsid w:val="332A1B01"/>
    <w:rsid w:val="33400073"/>
    <w:rsid w:val="33E44355"/>
    <w:rsid w:val="34221A0F"/>
    <w:rsid w:val="343D47C8"/>
    <w:rsid w:val="345C44F4"/>
    <w:rsid w:val="34647EE2"/>
    <w:rsid w:val="34767E4A"/>
    <w:rsid w:val="347E392D"/>
    <w:rsid w:val="34AC5C13"/>
    <w:rsid w:val="34D36A97"/>
    <w:rsid w:val="34D45A2B"/>
    <w:rsid w:val="35796BFB"/>
    <w:rsid w:val="35EA15F0"/>
    <w:rsid w:val="36173983"/>
    <w:rsid w:val="36313C99"/>
    <w:rsid w:val="364F0F8A"/>
    <w:rsid w:val="36580FED"/>
    <w:rsid w:val="36F54D7A"/>
    <w:rsid w:val="37392E3A"/>
    <w:rsid w:val="375D7E40"/>
    <w:rsid w:val="37A144A4"/>
    <w:rsid w:val="37C428AB"/>
    <w:rsid w:val="37ED0A4A"/>
    <w:rsid w:val="380163BE"/>
    <w:rsid w:val="38565EA0"/>
    <w:rsid w:val="38865E45"/>
    <w:rsid w:val="38BD2B52"/>
    <w:rsid w:val="390A331C"/>
    <w:rsid w:val="39163068"/>
    <w:rsid w:val="39282A13"/>
    <w:rsid w:val="3945231B"/>
    <w:rsid w:val="3A446FFA"/>
    <w:rsid w:val="3A6225C9"/>
    <w:rsid w:val="3B403909"/>
    <w:rsid w:val="3D347646"/>
    <w:rsid w:val="3D6A1CC7"/>
    <w:rsid w:val="3E1C174A"/>
    <w:rsid w:val="3E80413B"/>
    <w:rsid w:val="3EFE767F"/>
    <w:rsid w:val="3FB12C0A"/>
    <w:rsid w:val="3FD27E3D"/>
    <w:rsid w:val="401221CB"/>
    <w:rsid w:val="419539EA"/>
    <w:rsid w:val="41B56F3F"/>
    <w:rsid w:val="41D15547"/>
    <w:rsid w:val="424C72C0"/>
    <w:rsid w:val="426C5F19"/>
    <w:rsid w:val="42C443A6"/>
    <w:rsid w:val="42DB537E"/>
    <w:rsid w:val="437C13EB"/>
    <w:rsid w:val="43896911"/>
    <w:rsid w:val="447C6016"/>
    <w:rsid w:val="448C3705"/>
    <w:rsid w:val="44F00F07"/>
    <w:rsid w:val="461A571B"/>
    <w:rsid w:val="465215B2"/>
    <w:rsid w:val="46B73399"/>
    <w:rsid w:val="46F2380C"/>
    <w:rsid w:val="46F51548"/>
    <w:rsid w:val="479063D3"/>
    <w:rsid w:val="479B2306"/>
    <w:rsid w:val="47BF1703"/>
    <w:rsid w:val="47E63F3B"/>
    <w:rsid w:val="484072B8"/>
    <w:rsid w:val="48B75951"/>
    <w:rsid w:val="492D21CD"/>
    <w:rsid w:val="496031BB"/>
    <w:rsid w:val="4A450B5D"/>
    <w:rsid w:val="4A623655"/>
    <w:rsid w:val="4CAE42B6"/>
    <w:rsid w:val="4CD43569"/>
    <w:rsid w:val="4DC85411"/>
    <w:rsid w:val="4E22295F"/>
    <w:rsid w:val="4FB07115"/>
    <w:rsid w:val="4FB8600E"/>
    <w:rsid w:val="4FFE7A6D"/>
    <w:rsid w:val="50561374"/>
    <w:rsid w:val="508F75EC"/>
    <w:rsid w:val="50AD019F"/>
    <w:rsid w:val="50E5759D"/>
    <w:rsid w:val="51B25BD0"/>
    <w:rsid w:val="52577635"/>
    <w:rsid w:val="5393251C"/>
    <w:rsid w:val="545D77BE"/>
    <w:rsid w:val="55522506"/>
    <w:rsid w:val="56F162E5"/>
    <w:rsid w:val="57603DAD"/>
    <w:rsid w:val="580C6FB9"/>
    <w:rsid w:val="592D75AE"/>
    <w:rsid w:val="59A46E83"/>
    <w:rsid w:val="5A035E28"/>
    <w:rsid w:val="5A863087"/>
    <w:rsid w:val="5B3D601E"/>
    <w:rsid w:val="5BB429A6"/>
    <w:rsid w:val="5BFB5ACE"/>
    <w:rsid w:val="5C137BEE"/>
    <w:rsid w:val="5C52743D"/>
    <w:rsid w:val="5C7F2F0C"/>
    <w:rsid w:val="5C870807"/>
    <w:rsid w:val="5CD676E0"/>
    <w:rsid w:val="5DC6024F"/>
    <w:rsid w:val="5E636A4A"/>
    <w:rsid w:val="5FFB4FDE"/>
    <w:rsid w:val="60700C0A"/>
    <w:rsid w:val="611F5376"/>
    <w:rsid w:val="617E4A58"/>
    <w:rsid w:val="61BA2DE0"/>
    <w:rsid w:val="625E0EB2"/>
    <w:rsid w:val="62692282"/>
    <w:rsid w:val="62AA0980"/>
    <w:rsid w:val="62CF35ED"/>
    <w:rsid w:val="636B5197"/>
    <w:rsid w:val="636F68E7"/>
    <w:rsid w:val="63AD7F78"/>
    <w:rsid w:val="63D745BC"/>
    <w:rsid w:val="658E7587"/>
    <w:rsid w:val="65981E2E"/>
    <w:rsid w:val="65E051BD"/>
    <w:rsid w:val="66E21BB1"/>
    <w:rsid w:val="67AC65F9"/>
    <w:rsid w:val="67E95806"/>
    <w:rsid w:val="681870D5"/>
    <w:rsid w:val="68934A84"/>
    <w:rsid w:val="68B87BB3"/>
    <w:rsid w:val="68CD27FB"/>
    <w:rsid w:val="68E101F5"/>
    <w:rsid w:val="694D6384"/>
    <w:rsid w:val="6A971601"/>
    <w:rsid w:val="6AEE57B3"/>
    <w:rsid w:val="6B57485C"/>
    <w:rsid w:val="6BD33A43"/>
    <w:rsid w:val="6C173279"/>
    <w:rsid w:val="6C8423C8"/>
    <w:rsid w:val="6C9C7173"/>
    <w:rsid w:val="6CE86DED"/>
    <w:rsid w:val="6D5920B9"/>
    <w:rsid w:val="6DA02A5D"/>
    <w:rsid w:val="6DB67027"/>
    <w:rsid w:val="6E910743"/>
    <w:rsid w:val="6F5765D4"/>
    <w:rsid w:val="6F67694D"/>
    <w:rsid w:val="704B1FAB"/>
    <w:rsid w:val="70B761D9"/>
    <w:rsid w:val="70FD6205"/>
    <w:rsid w:val="719B4338"/>
    <w:rsid w:val="71C528FB"/>
    <w:rsid w:val="723217FF"/>
    <w:rsid w:val="725A2C49"/>
    <w:rsid w:val="72785ABE"/>
    <w:rsid w:val="73501C1B"/>
    <w:rsid w:val="73537A22"/>
    <w:rsid w:val="739000E2"/>
    <w:rsid w:val="73F2565F"/>
    <w:rsid w:val="74600CEE"/>
    <w:rsid w:val="748C31DD"/>
    <w:rsid w:val="74D12BE5"/>
    <w:rsid w:val="755F0367"/>
    <w:rsid w:val="75B62B91"/>
    <w:rsid w:val="75CA09D6"/>
    <w:rsid w:val="76EE05AE"/>
    <w:rsid w:val="77DF785D"/>
    <w:rsid w:val="77F14F40"/>
    <w:rsid w:val="78120A10"/>
    <w:rsid w:val="79092E29"/>
    <w:rsid w:val="79BF020C"/>
    <w:rsid w:val="7A095B80"/>
    <w:rsid w:val="7B394788"/>
    <w:rsid w:val="7BA13E1E"/>
    <w:rsid w:val="7BA7124D"/>
    <w:rsid w:val="7BD53022"/>
    <w:rsid w:val="7C072F71"/>
    <w:rsid w:val="7C866E96"/>
    <w:rsid w:val="7CD906DC"/>
    <w:rsid w:val="7D366DAD"/>
    <w:rsid w:val="7E4F7BF4"/>
    <w:rsid w:val="7FDF6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3C2A93C"/>
  <w15:docId w15:val="{2CD02FC4-86A2-4EDB-A24D-57A5ED40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Matebook</dc:creator>
  <cp:lastModifiedBy>star</cp:lastModifiedBy>
  <cp:revision>9</cp:revision>
  <dcterms:created xsi:type="dcterms:W3CDTF">2021-06-01T01:17:00Z</dcterms:created>
  <dcterms:modified xsi:type="dcterms:W3CDTF">2023-11-07T14:49:00Z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C1C6CDDFA3FA4016BB74BE9F9547B5EE</vt:lpwstr>
  </property>
</Properties>
</file>